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7B" w:rsidRDefault="003F017B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kern w:val="0"/>
          <w:sz w:val="44"/>
          <w:szCs w:val="44"/>
        </w:rPr>
      </w:pPr>
    </w:p>
    <w:p w:rsidR="003F017B" w:rsidRDefault="003F017B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kern w:val="0"/>
          <w:sz w:val="44"/>
          <w:szCs w:val="44"/>
        </w:rPr>
      </w:pPr>
    </w:p>
    <w:p w:rsidR="003F017B" w:rsidRDefault="003F017B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kern w:val="0"/>
          <w:sz w:val="44"/>
          <w:szCs w:val="44"/>
        </w:rPr>
      </w:pPr>
    </w:p>
    <w:p w:rsidR="003F017B" w:rsidRPr="00E704E6" w:rsidRDefault="00E704E6" w:rsidP="00780AC5">
      <w:pPr>
        <w:autoSpaceDE w:val="0"/>
        <w:autoSpaceDN w:val="0"/>
        <w:adjustRightInd w:val="0"/>
        <w:jc w:val="center"/>
        <w:rPr>
          <w:rFonts w:ascii="仿宋_GB2312" w:eastAsia="仿宋_GB2312" w:hAnsi="华文中宋" w:cs="HiddenHorzOCR"/>
          <w:kern w:val="0"/>
          <w:sz w:val="32"/>
          <w:szCs w:val="32"/>
        </w:rPr>
      </w:pPr>
      <w:r w:rsidRPr="00E704E6">
        <w:rPr>
          <w:rFonts w:ascii="仿宋_GB2312" w:eastAsia="仿宋_GB2312" w:hAnsi="华文中宋" w:cs="HiddenHorzOCR"/>
          <w:kern w:val="0"/>
          <w:sz w:val="32"/>
          <w:szCs w:val="32"/>
        </w:rPr>
        <w:t>校发</w:t>
      </w:r>
      <w:r w:rsidRPr="00A07E23">
        <w:rPr>
          <w:rFonts w:ascii="仿宋_GB2312" w:eastAsia="仿宋_GB2312" w:hAnsi="华文中宋" w:hint="eastAsia"/>
          <w:sz w:val="32"/>
          <w:szCs w:val="32"/>
        </w:rPr>
        <w:t>〔201</w:t>
      </w:r>
      <w:r>
        <w:rPr>
          <w:rFonts w:ascii="仿宋_GB2312" w:eastAsia="仿宋_GB2312" w:hAnsi="华文中宋" w:hint="eastAsia"/>
          <w:sz w:val="32"/>
          <w:szCs w:val="32"/>
        </w:rPr>
        <w:t>6</w:t>
      </w:r>
      <w:r w:rsidRPr="00A07E23">
        <w:rPr>
          <w:rFonts w:ascii="仿宋_GB2312" w:eastAsia="仿宋_GB2312" w:hAnsi="华文中宋" w:hint="eastAsia"/>
          <w:sz w:val="32"/>
          <w:szCs w:val="32"/>
        </w:rPr>
        <w:t>〕</w:t>
      </w:r>
      <w:r>
        <w:rPr>
          <w:rFonts w:ascii="仿宋_GB2312" w:eastAsia="仿宋_GB2312" w:hAnsi="华文中宋" w:hint="eastAsia"/>
          <w:sz w:val="32"/>
          <w:szCs w:val="32"/>
        </w:rPr>
        <w:t>2</w:t>
      </w:r>
      <w:r w:rsidRPr="00A07E23">
        <w:rPr>
          <w:rFonts w:ascii="仿宋_GB2312" w:eastAsia="仿宋_GB2312" w:hAnsi="华文中宋" w:hint="eastAsia"/>
          <w:sz w:val="32"/>
          <w:szCs w:val="32"/>
        </w:rPr>
        <w:t>号</w:t>
      </w:r>
    </w:p>
    <w:p w:rsidR="003F017B" w:rsidRDefault="003F017B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kern w:val="0"/>
          <w:sz w:val="44"/>
          <w:szCs w:val="44"/>
        </w:rPr>
      </w:pPr>
      <w:r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t>关于印发《北京交通大学</w:t>
      </w:r>
      <w:r w:rsidR="00C808F4"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t>横向</w:t>
      </w:r>
      <w:r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t>科研业务接待</w:t>
      </w:r>
    </w:p>
    <w:p w:rsidR="003F017B" w:rsidRDefault="003F017B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kern w:val="0"/>
          <w:sz w:val="44"/>
          <w:szCs w:val="44"/>
        </w:rPr>
      </w:pPr>
      <w:r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t>管理办法（试行）》的通知</w:t>
      </w:r>
    </w:p>
    <w:p w:rsidR="003F017B" w:rsidRDefault="003F017B" w:rsidP="003F017B">
      <w:pPr>
        <w:autoSpaceDE w:val="0"/>
        <w:autoSpaceDN w:val="0"/>
        <w:adjustRightInd w:val="0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</w:p>
    <w:p w:rsidR="003F017B" w:rsidRDefault="003F017B" w:rsidP="003F017B">
      <w:pPr>
        <w:autoSpaceDE w:val="0"/>
        <w:autoSpaceDN w:val="0"/>
        <w:adjustRightInd w:val="0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  <w:r w:rsidRPr="003F017B">
        <w:rPr>
          <w:rFonts w:ascii="仿宋_GB2312" w:eastAsia="仿宋_GB2312" w:hAnsi="华文中宋" w:cs="HiddenHorzOCR" w:hint="eastAsia"/>
          <w:kern w:val="0"/>
          <w:sz w:val="32"/>
          <w:szCs w:val="32"/>
        </w:rPr>
        <w:t>校内</w:t>
      </w:r>
      <w:r w:rsidR="001A6B80">
        <w:rPr>
          <w:rFonts w:ascii="仿宋_GB2312" w:eastAsia="仿宋_GB2312" w:hAnsi="华文中宋" w:cs="HiddenHorzOCR" w:hint="eastAsia"/>
          <w:kern w:val="0"/>
          <w:sz w:val="32"/>
          <w:szCs w:val="32"/>
        </w:rPr>
        <w:t>有关</w:t>
      </w:r>
      <w:r w:rsidRPr="003F017B">
        <w:rPr>
          <w:rFonts w:ascii="仿宋_GB2312" w:eastAsia="仿宋_GB2312" w:hAnsi="华文中宋" w:cs="HiddenHorzOCR" w:hint="eastAsia"/>
          <w:kern w:val="0"/>
          <w:sz w:val="32"/>
          <w:szCs w:val="32"/>
        </w:rPr>
        <w:t>单位</w:t>
      </w: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>：</w:t>
      </w:r>
    </w:p>
    <w:p w:rsidR="003F017B" w:rsidRDefault="003F017B" w:rsidP="003F017B">
      <w:pPr>
        <w:autoSpaceDE w:val="0"/>
        <w:autoSpaceDN w:val="0"/>
        <w:adjustRightInd w:val="0"/>
        <w:ind w:firstLine="645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>《北京交通大学</w:t>
      </w:r>
      <w:r w:rsidR="00C808F4">
        <w:rPr>
          <w:rFonts w:ascii="仿宋_GB2312" w:eastAsia="仿宋_GB2312" w:hAnsi="华文中宋" w:cs="HiddenHorzOCR" w:hint="eastAsia"/>
          <w:kern w:val="0"/>
          <w:sz w:val="32"/>
          <w:szCs w:val="32"/>
        </w:rPr>
        <w:t>横向</w:t>
      </w: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>科研业务接待管理办法（试行）》已经学校十届党委常委会第</w:t>
      </w:r>
      <w:r w:rsidR="00D17542">
        <w:rPr>
          <w:rFonts w:ascii="仿宋_GB2312" w:eastAsia="仿宋_GB2312" w:hAnsi="华文中宋" w:cs="HiddenHorzOCR" w:hint="eastAsia"/>
          <w:kern w:val="0"/>
          <w:sz w:val="32"/>
          <w:szCs w:val="32"/>
        </w:rPr>
        <w:t>八十一</w:t>
      </w: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>次会议审议通过，现予印发，请遵照执行。</w:t>
      </w:r>
    </w:p>
    <w:p w:rsidR="003F017B" w:rsidRDefault="003F017B" w:rsidP="003F017B">
      <w:pPr>
        <w:autoSpaceDE w:val="0"/>
        <w:autoSpaceDN w:val="0"/>
        <w:adjustRightInd w:val="0"/>
        <w:ind w:firstLine="645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</w:p>
    <w:p w:rsidR="003F017B" w:rsidRDefault="003F017B" w:rsidP="003F017B">
      <w:pPr>
        <w:autoSpaceDE w:val="0"/>
        <w:autoSpaceDN w:val="0"/>
        <w:adjustRightInd w:val="0"/>
        <w:ind w:firstLine="645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</w:p>
    <w:p w:rsidR="003F017B" w:rsidRDefault="003F017B" w:rsidP="003F017B">
      <w:pPr>
        <w:autoSpaceDE w:val="0"/>
        <w:autoSpaceDN w:val="0"/>
        <w:adjustRightInd w:val="0"/>
        <w:ind w:firstLine="645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 xml:space="preserve">                              北京交通大学</w:t>
      </w:r>
    </w:p>
    <w:p w:rsidR="003F017B" w:rsidRPr="003F017B" w:rsidRDefault="003F017B" w:rsidP="002A6D62">
      <w:pPr>
        <w:autoSpaceDE w:val="0"/>
        <w:autoSpaceDN w:val="0"/>
        <w:adjustRightInd w:val="0"/>
        <w:ind w:firstLine="646"/>
        <w:jc w:val="left"/>
        <w:rPr>
          <w:rFonts w:ascii="仿宋_GB2312" w:eastAsia="仿宋_GB2312" w:hAnsi="华文中宋" w:cs="HiddenHorzOCR"/>
          <w:kern w:val="0"/>
          <w:sz w:val="32"/>
          <w:szCs w:val="32"/>
        </w:rPr>
      </w:pP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 xml:space="preserve">                            </w:t>
      </w:r>
      <w:r w:rsidR="00D20B3D">
        <w:rPr>
          <w:rFonts w:ascii="仿宋_GB2312" w:eastAsia="仿宋_GB2312" w:hAnsi="华文中宋" w:cs="HiddenHorzOCR" w:hint="eastAsia"/>
          <w:kern w:val="0"/>
          <w:sz w:val="32"/>
          <w:szCs w:val="32"/>
        </w:rPr>
        <w:t xml:space="preserve"> </w:t>
      </w:r>
      <w:r w:rsidR="002A6D62">
        <w:rPr>
          <w:rFonts w:ascii="仿宋_GB2312" w:eastAsia="仿宋_GB2312" w:hAnsi="华文中宋" w:cs="HiddenHorzOCR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>201</w:t>
      </w:r>
      <w:r w:rsidR="002A6D62">
        <w:rPr>
          <w:rFonts w:ascii="仿宋_GB2312" w:eastAsia="仿宋_GB2312" w:hAnsi="华文中宋" w:cs="HiddenHorzOCR" w:hint="eastAsia"/>
          <w:kern w:val="0"/>
          <w:sz w:val="32"/>
          <w:szCs w:val="32"/>
        </w:rPr>
        <w:t>6</w:t>
      </w:r>
      <w:r>
        <w:rPr>
          <w:rFonts w:ascii="仿宋_GB2312" w:eastAsia="仿宋_GB2312" w:hAnsi="华文中宋" w:cs="HiddenHorzOCR" w:hint="eastAsia"/>
          <w:kern w:val="0"/>
          <w:sz w:val="32"/>
          <w:szCs w:val="32"/>
        </w:rPr>
        <w:t>年</w:t>
      </w:r>
      <w:r w:rsidR="002A6D62">
        <w:rPr>
          <w:rFonts w:ascii="仿宋_GB2312" w:eastAsia="仿宋_GB2312" w:hAnsi="华文中宋" w:cs="HiddenHorzOCR" w:hint="eastAsia"/>
          <w:kern w:val="0"/>
          <w:sz w:val="32"/>
          <w:szCs w:val="32"/>
        </w:rPr>
        <w:t>1</w:t>
      </w:r>
      <w:r w:rsidR="00D20B3D">
        <w:rPr>
          <w:rFonts w:ascii="仿宋_GB2312" w:eastAsia="仿宋_GB2312" w:hAnsi="华文中宋" w:cs="HiddenHorzOCR" w:hint="eastAsia"/>
          <w:kern w:val="0"/>
          <w:sz w:val="32"/>
          <w:szCs w:val="32"/>
        </w:rPr>
        <w:t>月</w:t>
      </w:r>
      <w:r w:rsidR="002A6D62">
        <w:rPr>
          <w:rFonts w:ascii="仿宋_GB2312" w:eastAsia="仿宋_GB2312" w:hAnsi="华文中宋" w:cs="HiddenHorzOCR" w:hint="eastAsia"/>
          <w:kern w:val="0"/>
          <w:sz w:val="32"/>
          <w:szCs w:val="32"/>
        </w:rPr>
        <w:t>8</w:t>
      </w:r>
      <w:r w:rsidR="00D20B3D">
        <w:rPr>
          <w:rFonts w:ascii="仿宋_GB2312" w:eastAsia="仿宋_GB2312" w:hAnsi="华文中宋" w:cs="HiddenHorzOCR" w:hint="eastAsia"/>
          <w:kern w:val="0"/>
          <w:sz w:val="32"/>
          <w:szCs w:val="32"/>
        </w:rPr>
        <w:t>日</w:t>
      </w:r>
    </w:p>
    <w:p w:rsidR="003F017B" w:rsidRPr="003F017B" w:rsidRDefault="003F017B" w:rsidP="00566276">
      <w:pPr>
        <w:autoSpaceDE w:val="0"/>
        <w:autoSpaceDN w:val="0"/>
        <w:adjustRightInd w:val="0"/>
        <w:jc w:val="center"/>
        <w:rPr>
          <w:rFonts w:ascii="仿宋_GB2312" w:eastAsia="仿宋_GB2312" w:hAnsi="华文中宋" w:cs="HiddenHorzOCR"/>
          <w:b/>
          <w:kern w:val="0"/>
          <w:sz w:val="44"/>
          <w:szCs w:val="44"/>
        </w:rPr>
      </w:pPr>
    </w:p>
    <w:p w:rsidR="003F017B" w:rsidRPr="003F017B" w:rsidRDefault="003F017B" w:rsidP="00566276">
      <w:pPr>
        <w:autoSpaceDE w:val="0"/>
        <w:autoSpaceDN w:val="0"/>
        <w:adjustRightInd w:val="0"/>
        <w:jc w:val="center"/>
        <w:rPr>
          <w:rFonts w:ascii="仿宋_GB2312" w:eastAsia="仿宋_GB2312" w:hAnsi="华文中宋" w:cs="HiddenHorzOCR"/>
          <w:b/>
          <w:kern w:val="0"/>
          <w:sz w:val="44"/>
          <w:szCs w:val="44"/>
        </w:rPr>
      </w:pPr>
    </w:p>
    <w:p w:rsidR="003F017B" w:rsidRPr="003F017B" w:rsidRDefault="003F017B" w:rsidP="00566276">
      <w:pPr>
        <w:autoSpaceDE w:val="0"/>
        <w:autoSpaceDN w:val="0"/>
        <w:adjustRightInd w:val="0"/>
        <w:jc w:val="center"/>
        <w:rPr>
          <w:rFonts w:ascii="仿宋_GB2312" w:eastAsia="仿宋_GB2312" w:hAnsi="华文中宋" w:cs="HiddenHorzOCR"/>
          <w:b/>
          <w:kern w:val="0"/>
          <w:sz w:val="44"/>
          <w:szCs w:val="44"/>
        </w:rPr>
      </w:pPr>
    </w:p>
    <w:p w:rsidR="003F017B" w:rsidRPr="003F017B" w:rsidRDefault="003F017B" w:rsidP="00566276">
      <w:pPr>
        <w:autoSpaceDE w:val="0"/>
        <w:autoSpaceDN w:val="0"/>
        <w:adjustRightInd w:val="0"/>
        <w:jc w:val="center"/>
        <w:rPr>
          <w:rFonts w:ascii="仿宋_GB2312" w:eastAsia="仿宋_GB2312" w:hAnsi="华文中宋" w:cs="HiddenHorzOCR"/>
          <w:b/>
          <w:kern w:val="0"/>
          <w:sz w:val="44"/>
          <w:szCs w:val="44"/>
        </w:rPr>
      </w:pPr>
    </w:p>
    <w:p w:rsidR="00C808F4" w:rsidRDefault="00B313A0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MS Mincho"/>
          <w:b/>
          <w:kern w:val="0"/>
          <w:sz w:val="44"/>
          <w:szCs w:val="44"/>
        </w:rPr>
      </w:pPr>
      <w:r w:rsidRPr="008D7ABF"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lastRenderedPageBreak/>
        <w:t>北京交通大学</w:t>
      </w:r>
      <w:r w:rsidR="00C808F4"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t>横向</w:t>
      </w:r>
      <w:r w:rsidRPr="008D7ABF">
        <w:rPr>
          <w:rFonts w:ascii="华文中宋" w:eastAsia="华文中宋" w:hAnsi="华文中宋" w:cs="HiddenHorzOCR" w:hint="eastAsia"/>
          <w:b/>
          <w:kern w:val="0"/>
          <w:sz w:val="44"/>
          <w:szCs w:val="44"/>
        </w:rPr>
        <w:t>科研业务</w:t>
      </w:r>
      <w:r w:rsidR="008C618E" w:rsidRPr="008D7ABF">
        <w:rPr>
          <w:rFonts w:ascii="华文中宋" w:eastAsia="华文中宋" w:hAnsi="华文中宋" w:cs="MS Mincho" w:hint="eastAsia"/>
          <w:b/>
          <w:kern w:val="0"/>
          <w:sz w:val="44"/>
          <w:szCs w:val="44"/>
        </w:rPr>
        <w:t>接待</w:t>
      </w:r>
    </w:p>
    <w:p w:rsidR="008C618E" w:rsidRPr="008D7ABF" w:rsidRDefault="008C618E" w:rsidP="00566276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kern w:val="0"/>
          <w:sz w:val="44"/>
          <w:szCs w:val="44"/>
        </w:rPr>
      </w:pPr>
      <w:r w:rsidRPr="008D7ABF">
        <w:rPr>
          <w:rFonts w:ascii="华文中宋" w:eastAsia="华文中宋" w:hAnsi="华文中宋" w:cs="MS Mincho" w:hint="eastAsia"/>
          <w:b/>
          <w:kern w:val="0"/>
          <w:sz w:val="44"/>
          <w:szCs w:val="44"/>
        </w:rPr>
        <w:t>管理</w:t>
      </w:r>
      <w:r w:rsidR="007D3E9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办法</w:t>
      </w:r>
      <w:r w:rsidR="00D02E7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（</w:t>
      </w:r>
      <w:r w:rsidR="0025680F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试行</w:t>
      </w:r>
      <w:r w:rsidR="00D02E7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）</w:t>
      </w:r>
    </w:p>
    <w:p w:rsidR="008C618E" w:rsidRPr="001F2553" w:rsidRDefault="008C618E" w:rsidP="001F2553">
      <w:pPr>
        <w:autoSpaceDE w:val="0"/>
        <w:autoSpaceDN w:val="0"/>
        <w:adjustRightInd w:val="0"/>
        <w:jc w:val="center"/>
        <w:rPr>
          <w:rFonts w:ascii="楷体_GB2312" w:eastAsia="楷体_GB2312" w:cs="HiddenHorzOCR"/>
          <w:kern w:val="0"/>
          <w:sz w:val="32"/>
          <w:szCs w:val="26"/>
        </w:rPr>
      </w:pPr>
    </w:p>
    <w:p w:rsidR="00FC0E4F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cs="HiddenHorzOCR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为进</w:t>
      </w:r>
      <w:r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一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步规</w:t>
      </w:r>
      <w:r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范学校</w:t>
      </w:r>
      <w:r w:rsidR="00E601F9"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科研业务</w:t>
      </w:r>
      <w:r w:rsidR="005B5A25">
        <w:rPr>
          <w:rFonts w:ascii="仿宋_GB2312" w:eastAsia="仿宋_GB2312" w:hAnsi="MS Mincho" w:cs="MS Mincho" w:hint="eastAsia"/>
          <w:kern w:val="0"/>
          <w:sz w:val="32"/>
          <w:szCs w:val="32"/>
        </w:rPr>
        <w:t>接待</w:t>
      </w:r>
      <w:r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管理</w:t>
      </w:r>
      <w:r w:rsidRPr="00E37B8E">
        <w:rPr>
          <w:rFonts w:ascii="仿宋_GB2312" w:eastAsia="仿宋_GB2312" w:cs="HiddenHorzOCR" w:hint="eastAsia"/>
          <w:kern w:val="0"/>
          <w:sz w:val="32"/>
          <w:szCs w:val="32"/>
        </w:rPr>
        <w:t>，</w:t>
      </w:r>
      <w:r w:rsidR="00A217DA">
        <w:rPr>
          <w:rFonts w:ascii="仿宋_GB2312" w:eastAsia="仿宋_GB2312" w:cs="HiddenHorzOCR" w:hint="eastAsia"/>
          <w:kern w:val="0"/>
          <w:sz w:val="32"/>
          <w:szCs w:val="32"/>
        </w:rPr>
        <w:t>参照</w:t>
      </w:r>
      <w:r w:rsidR="003B705E"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《</w:t>
      </w:r>
      <w:r w:rsidR="00C01202"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北京交通</w:t>
      </w:r>
      <w:r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大学</w:t>
      </w:r>
      <w:r w:rsidR="00E17BFF">
        <w:rPr>
          <w:rFonts w:ascii="仿宋_GB2312" w:eastAsia="仿宋_GB2312" w:hAnsi="宋体" w:cs="宋体" w:hint="eastAsia"/>
          <w:kern w:val="0"/>
          <w:sz w:val="32"/>
          <w:szCs w:val="32"/>
        </w:rPr>
        <w:t>国内公务接待管理办法》（党办</w:t>
      </w:r>
      <w:r w:rsidR="00E17BFF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发〔2015〕</w:t>
      </w:r>
      <w:r w:rsidR="00E17BFF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="00E17BFF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="00E17BFF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E37B8E">
        <w:rPr>
          <w:rFonts w:ascii="仿宋_GB2312" w:eastAsia="仿宋_GB2312" w:cs="HiddenHorzOCR" w:hint="eastAsia"/>
          <w:kern w:val="0"/>
          <w:sz w:val="32"/>
          <w:szCs w:val="32"/>
        </w:rPr>
        <w:t>，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结</w:t>
      </w:r>
      <w:r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合学校</w:t>
      </w:r>
      <w:r w:rsidR="00C15AF2" w:rsidRPr="00E37B8E">
        <w:rPr>
          <w:rFonts w:ascii="仿宋_GB2312" w:eastAsia="仿宋_GB2312" w:hAnsi="MS Mincho" w:cs="MS Mincho" w:hint="eastAsia"/>
          <w:kern w:val="0"/>
          <w:sz w:val="32"/>
          <w:szCs w:val="32"/>
        </w:rPr>
        <w:t>科研业务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实际</w:t>
      </w:r>
      <w:r w:rsidRPr="00E37B8E">
        <w:rPr>
          <w:rFonts w:ascii="仿宋_GB2312" w:eastAsia="仿宋_GB2312" w:cs="HiddenHorzOCR" w:hint="eastAsia"/>
          <w:kern w:val="0"/>
          <w:sz w:val="32"/>
          <w:szCs w:val="32"/>
        </w:rPr>
        <w:t>，制定本</w:t>
      </w:r>
      <w:r w:rsidR="00665BC6">
        <w:rPr>
          <w:rFonts w:ascii="仿宋_GB2312" w:eastAsia="仿宋_GB2312" w:hAnsi="宋体" w:cs="宋体" w:hint="eastAsia"/>
          <w:kern w:val="0"/>
          <w:sz w:val="32"/>
          <w:szCs w:val="32"/>
        </w:rPr>
        <w:t>办法</w:t>
      </w:r>
      <w:r w:rsidRPr="00E37B8E">
        <w:rPr>
          <w:rFonts w:ascii="仿宋_GB2312" w:eastAsia="仿宋_GB2312" w:cs="HiddenHorzOCR" w:hint="eastAsia"/>
          <w:kern w:val="0"/>
          <w:sz w:val="32"/>
          <w:szCs w:val="32"/>
        </w:rPr>
        <w:t>。</w:t>
      </w:r>
    </w:p>
    <w:p w:rsidR="00FC0E4F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本规定适用于</w:t>
      </w:r>
      <w:r w:rsidR="005E1739">
        <w:rPr>
          <w:rFonts w:ascii="仿宋_GB2312" w:eastAsia="仿宋_GB2312" w:hAnsi="宋体" w:cs="宋体" w:hint="eastAsia"/>
          <w:kern w:val="0"/>
          <w:sz w:val="32"/>
          <w:szCs w:val="32"/>
        </w:rPr>
        <w:t>横向</w:t>
      </w:r>
      <w:r w:rsidR="006452E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科研</w:t>
      </w:r>
      <w:r w:rsidR="005E1739">
        <w:rPr>
          <w:rFonts w:ascii="仿宋_GB2312" w:eastAsia="仿宋_GB2312" w:hAnsi="宋体" w:cs="宋体" w:hint="eastAsia"/>
          <w:kern w:val="0"/>
          <w:sz w:val="32"/>
          <w:szCs w:val="32"/>
        </w:rPr>
        <w:t>项目</w:t>
      </w:r>
      <w:r w:rsidR="004E71DE">
        <w:rPr>
          <w:rFonts w:ascii="仿宋_GB2312" w:eastAsia="仿宋_GB2312" w:hAnsi="宋体" w:cs="宋体" w:hint="eastAsia"/>
          <w:kern w:val="0"/>
          <w:sz w:val="32"/>
          <w:szCs w:val="32"/>
        </w:rPr>
        <w:t>经费预算内</w:t>
      </w:r>
      <w:r w:rsidR="008F3A81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发生的业务接待活动</w:t>
      </w:r>
      <w:r w:rsidR="005E173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C618E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接待活动坚持</w:t>
      </w:r>
      <w:r w:rsidR="001C111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有利于</w:t>
      </w:r>
      <w:r w:rsidR="00D02903">
        <w:rPr>
          <w:rFonts w:ascii="仿宋_GB2312" w:eastAsia="仿宋_GB2312" w:hAnsi="宋体" w:cs="宋体" w:hint="eastAsia"/>
          <w:kern w:val="0"/>
          <w:sz w:val="32"/>
          <w:szCs w:val="32"/>
        </w:rPr>
        <w:t>科研</w:t>
      </w:r>
      <w:r w:rsidR="001C111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 w:rsidR="00A33F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C1115" w:rsidRPr="00E37B8E">
        <w:rPr>
          <w:rFonts w:ascii="仿宋_GB2312" w:eastAsia="仿宋_GB2312" w:hAnsi="宋体" w:cs="宋体"/>
          <w:kern w:val="0"/>
          <w:sz w:val="32"/>
          <w:szCs w:val="32"/>
        </w:rPr>
        <w:t>务实节俭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的原则，杜绝与</w:t>
      </w:r>
      <w:r w:rsidR="00AF26B6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科研业务无关的接待活动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E0D40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接待活动实行接待清单制度，严格接待审批，对能够合并的接待统筹安排。</w:t>
      </w:r>
    </w:p>
    <w:p w:rsidR="00ED7D67" w:rsidRPr="00E37B8E" w:rsidRDefault="00ED7D67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</w:t>
      </w:r>
      <w:r w:rsidR="0048213C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对象的住宿应按照中央和国家机关差旅住宿费标准安排住宿用房。接待外地来京人员，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住宿一般应安排在学校内部宾馆</w:t>
      </w:r>
      <w:r w:rsidR="0048213C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26213C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校内宾馆无法提供住宿用房的，可安排在其他宾馆住宿，但不得超标准安排接待住房。</w:t>
      </w:r>
    </w:p>
    <w:p w:rsidR="008C618E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接待用餐提倡安排工作餐或自助餐，必要时可安排桌餐。</w:t>
      </w:r>
      <w:r w:rsidR="00CC5EC6" w:rsidRPr="007A4D29">
        <w:rPr>
          <w:rFonts w:ascii="仿宋_GB2312" w:eastAsia="仿宋_GB2312" w:hAnsi="宋体" w:cs="宋体" w:hint="eastAsia"/>
          <w:kern w:val="0"/>
          <w:sz w:val="32"/>
          <w:szCs w:val="32"/>
        </w:rPr>
        <w:t>接待用餐优先安排在校内餐厅。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接待活动严格控制陪餐人数。接待对象在</w:t>
      </w:r>
      <w:r w:rsidR="00725254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人以内</w:t>
      </w:r>
      <w:r w:rsidR="00680728">
        <w:rPr>
          <w:rFonts w:ascii="仿宋_GB2312" w:eastAsia="仿宋_GB2312" w:hAnsi="宋体" w:cs="宋体" w:hint="eastAsia"/>
          <w:kern w:val="0"/>
          <w:sz w:val="32"/>
          <w:szCs w:val="32"/>
        </w:rPr>
        <w:t>（含）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的，</w:t>
      </w:r>
      <w:r w:rsidR="00725254">
        <w:rPr>
          <w:rFonts w:ascii="仿宋_GB2312" w:eastAsia="仿宋_GB2312" w:hAnsi="宋体" w:cs="宋体" w:hint="eastAsia"/>
          <w:kern w:val="0"/>
          <w:sz w:val="32"/>
          <w:szCs w:val="32"/>
        </w:rPr>
        <w:t>陪同人数不超过</w:t>
      </w:r>
      <w:r w:rsidR="00794E84">
        <w:rPr>
          <w:rFonts w:ascii="仿宋_GB2312" w:eastAsia="仿宋_GB2312" w:hAnsi="宋体" w:cs="宋体" w:hint="eastAsia"/>
          <w:kern w:val="0"/>
          <w:sz w:val="32"/>
          <w:szCs w:val="32"/>
        </w:rPr>
        <w:t>5人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; 接待对象</w:t>
      </w:r>
      <w:r w:rsidR="00680728">
        <w:rPr>
          <w:rFonts w:ascii="仿宋_GB2312" w:eastAsia="仿宋_GB2312" w:hAnsi="宋体" w:cs="宋体" w:hint="eastAsia"/>
          <w:kern w:val="0"/>
          <w:sz w:val="32"/>
          <w:szCs w:val="32"/>
        </w:rPr>
        <w:t>超过</w:t>
      </w:r>
      <w:r w:rsidR="00725254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人的，陪餐人数不得超过</w:t>
      </w:r>
      <w:r w:rsidR="00725254">
        <w:rPr>
          <w:rFonts w:ascii="仿宋_GB2312" w:eastAsia="仿宋_GB2312" w:hAnsi="宋体" w:cs="宋体" w:hint="eastAsia"/>
          <w:kern w:val="0"/>
          <w:sz w:val="32"/>
          <w:szCs w:val="32"/>
        </w:rPr>
        <w:t>5人或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接待对象人数的</w:t>
      </w:r>
      <w:r w:rsidR="00725254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分之</w:t>
      </w:r>
      <w:r w:rsidR="00725254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="00852C75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C61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用餐标准</w:t>
      </w:r>
    </w:p>
    <w:p w:rsidR="00647560" w:rsidRPr="00647560" w:rsidRDefault="008630D8" w:rsidP="00204B4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接待</w:t>
      </w:r>
      <w:r>
        <w:rPr>
          <w:rFonts w:ascii="仿宋_GB2312" w:eastAsia="仿宋_GB2312" w:hAnsi="宋体" w:cs="宋体"/>
          <w:kern w:val="0"/>
          <w:sz w:val="32"/>
          <w:szCs w:val="32"/>
        </w:rPr>
        <w:t>用餐分为工作餐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自助餐和桌餐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3种</w:t>
      </w:r>
      <w:r w:rsidR="003A3823">
        <w:rPr>
          <w:rFonts w:ascii="仿宋_GB2312" w:eastAsia="仿宋_GB2312" w:hAnsi="宋体" w:cs="宋体" w:hint="eastAsia"/>
          <w:kern w:val="0"/>
          <w:sz w:val="32"/>
          <w:szCs w:val="32"/>
        </w:rPr>
        <w:t>方式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可</w:t>
      </w:r>
      <w:r w:rsidR="002E2EE7">
        <w:rPr>
          <w:rFonts w:ascii="仿宋_GB2312" w:eastAsia="仿宋_GB2312" w:hAnsi="宋体" w:cs="宋体"/>
          <w:kern w:val="0"/>
          <w:sz w:val="32"/>
          <w:szCs w:val="32"/>
        </w:rPr>
        <w:t>根据实际和节约的原则</w:t>
      </w:r>
      <w:r w:rsidR="003A3823">
        <w:rPr>
          <w:rFonts w:ascii="仿宋_GB2312" w:eastAsia="仿宋_GB2312" w:hAnsi="宋体" w:cs="宋体"/>
          <w:kern w:val="0"/>
          <w:sz w:val="32"/>
          <w:szCs w:val="32"/>
        </w:rPr>
        <w:t>进行</w:t>
      </w:r>
      <w:r w:rsidR="002E2EE7">
        <w:rPr>
          <w:rFonts w:ascii="仿宋_GB2312" w:eastAsia="仿宋_GB2312" w:hAnsi="宋体" w:cs="宋体" w:hint="eastAsia"/>
          <w:kern w:val="0"/>
          <w:sz w:val="32"/>
          <w:szCs w:val="32"/>
        </w:rPr>
        <w:t>安排</w:t>
      </w:r>
      <w:r w:rsidR="003A382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96470" w:rsidRPr="00E37B8E" w:rsidRDefault="00896470" w:rsidP="003B70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工作餐按每人一份提供，每份餐食标准不超过</w:t>
      </w:r>
      <w:r w:rsidR="00465ACD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元，不提供酒水;</w:t>
      </w:r>
    </w:p>
    <w:p w:rsidR="00896470" w:rsidRPr="00E37B8E" w:rsidRDefault="00896470" w:rsidP="003B70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自助餐可提供普通饮料，人均餐食标准不超过</w:t>
      </w:r>
      <w:r w:rsidR="005D0D46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元/人;</w:t>
      </w:r>
    </w:p>
    <w:p w:rsidR="008C618E" w:rsidRDefault="00896470" w:rsidP="003B70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桌餐可提供普通酒、饮料，人均餐食标准</w:t>
      </w:r>
      <w:r w:rsidR="008F3A81">
        <w:rPr>
          <w:rFonts w:ascii="仿宋_GB2312" w:eastAsia="仿宋_GB2312" w:hAnsi="宋体" w:cs="宋体" w:hint="eastAsia"/>
          <w:kern w:val="0"/>
          <w:sz w:val="32"/>
          <w:szCs w:val="32"/>
        </w:rPr>
        <w:t>一般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不超过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242C9"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元/</w:t>
      </w:r>
      <w:r w:rsidR="00465ACD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  <w:r w:rsidR="000242C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F3A81">
        <w:rPr>
          <w:rFonts w:ascii="仿宋_GB2312" w:eastAsia="仿宋_GB2312" w:hAnsi="宋体" w:cs="宋体" w:hint="eastAsia"/>
          <w:kern w:val="0"/>
          <w:sz w:val="32"/>
          <w:szCs w:val="32"/>
        </w:rPr>
        <w:t>最高</w:t>
      </w:r>
      <w:r w:rsidR="000242C9">
        <w:rPr>
          <w:rFonts w:ascii="仿宋_GB2312" w:eastAsia="仿宋_GB2312" w:hAnsi="宋体" w:cs="宋体" w:hint="eastAsia"/>
          <w:kern w:val="0"/>
          <w:sz w:val="32"/>
          <w:szCs w:val="32"/>
        </w:rPr>
        <w:t>不超过200元/人</w:t>
      </w:r>
      <w:r w:rsidR="007E236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0242C9" w:rsidRPr="00E37B8E" w:rsidRDefault="007E139E" w:rsidP="003B705E">
      <w:pPr>
        <w:autoSpaceDE w:val="0"/>
        <w:autoSpaceDN w:val="0"/>
        <w:adjustRightInd w:val="0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242C9">
        <w:rPr>
          <w:rFonts w:ascii="仿宋_GB2312" w:eastAsia="仿宋_GB2312" w:hAnsi="宋体" w:cs="宋体" w:hint="eastAsia"/>
          <w:kern w:val="0"/>
          <w:sz w:val="32"/>
          <w:szCs w:val="32"/>
        </w:rPr>
        <w:t>接待对象包含外宾的，</w:t>
      </w:r>
      <w:r w:rsidR="003D5C9A">
        <w:rPr>
          <w:rFonts w:ascii="仿宋_GB2312" w:eastAsia="仿宋_GB2312" w:hAnsi="宋体" w:cs="宋体" w:hint="eastAsia"/>
          <w:kern w:val="0"/>
          <w:sz w:val="32"/>
          <w:szCs w:val="32"/>
        </w:rPr>
        <w:t>可</w:t>
      </w:r>
      <w:r w:rsidR="000242C9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CD1CAF">
        <w:rPr>
          <w:rFonts w:ascii="仿宋_GB2312" w:eastAsia="仿宋_GB2312" w:hAnsi="宋体" w:cs="宋体" w:hint="eastAsia"/>
          <w:kern w:val="0"/>
          <w:sz w:val="32"/>
          <w:szCs w:val="32"/>
        </w:rPr>
        <w:t>《北京交通大学外事接待管理办法》相关标准执行。</w:t>
      </w:r>
    </w:p>
    <w:p w:rsidR="008C618E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接待用餐不得提供高档菜肴和用野生保护动物制作的菜肴，不得提供香烟和高档酒水，不得使用私人会所、高消费餐饮场所。</w:t>
      </w:r>
    </w:p>
    <w:p w:rsidR="008C618E" w:rsidRPr="00E37B8E" w:rsidRDefault="00F220A2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接待活动中，不得组织旅游和与科研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无关的参观，不得组织到营业性娱乐、健身场所活动，不得安排专场文艺演出，</w:t>
      </w:r>
      <w:r w:rsidR="008C618E" w:rsidRPr="00A3629C">
        <w:rPr>
          <w:rFonts w:ascii="仿宋_GB2312" w:eastAsia="仿宋_GB2312" w:hAnsi="宋体" w:cs="宋体" w:hint="eastAsia"/>
          <w:kern w:val="0"/>
          <w:sz w:val="32"/>
          <w:szCs w:val="32"/>
        </w:rPr>
        <w:t>不得赠送礼金、礼品、有价证券和土特产品等</w:t>
      </w:r>
      <w:r w:rsidR="008C618E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C618E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接待活动结束后，应</w:t>
      </w:r>
      <w:r w:rsidR="007D0FD5">
        <w:rPr>
          <w:rFonts w:ascii="仿宋_GB2312" w:eastAsia="仿宋_GB2312" w:hAnsi="宋体" w:cs="宋体" w:hint="eastAsia"/>
          <w:kern w:val="0"/>
          <w:sz w:val="32"/>
          <w:szCs w:val="32"/>
        </w:rPr>
        <w:t>及时核算接待费用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C808F4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如实填写接待清单</w:t>
      </w:r>
      <w:r w:rsidR="007D0FD5">
        <w:rPr>
          <w:rFonts w:ascii="仿宋_GB2312" w:eastAsia="仿宋_GB2312" w:hAnsi="宋体" w:cs="宋体" w:hint="eastAsia"/>
          <w:kern w:val="0"/>
          <w:sz w:val="32"/>
          <w:szCs w:val="32"/>
        </w:rPr>
        <w:t>。单次接待费用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不超过</w:t>
      </w:r>
      <w:r w:rsidR="00000424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7D0FD5">
        <w:rPr>
          <w:rFonts w:ascii="仿宋_GB2312" w:eastAsia="仿宋_GB2312" w:hAnsi="宋体" w:cs="宋体" w:hint="eastAsia"/>
          <w:kern w:val="0"/>
          <w:sz w:val="32"/>
          <w:szCs w:val="32"/>
        </w:rPr>
        <w:t>00元的，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由</w:t>
      </w:r>
      <w:r w:rsidR="00725E8D">
        <w:rPr>
          <w:rFonts w:ascii="仿宋_GB2312" w:eastAsia="仿宋_GB2312" w:hAnsi="宋体" w:cs="宋体" w:hint="eastAsia"/>
          <w:kern w:val="0"/>
          <w:sz w:val="32"/>
          <w:szCs w:val="32"/>
        </w:rPr>
        <w:t>项目负责人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审签；超过</w:t>
      </w:r>
      <w:r w:rsidR="00000424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00元的，由项目负责人、</w:t>
      </w:r>
      <w:r w:rsidR="00725E8D" w:rsidRPr="00A3629C">
        <w:rPr>
          <w:rFonts w:ascii="仿宋_GB2312" w:eastAsia="仿宋_GB2312" w:hAnsi="宋体" w:cs="宋体" w:hint="eastAsia"/>
          <w:kern w:val="0"/>
          <w:sz w:val="32"/>
          <w:szCs w:val="32"/>
        </w:rPr>
        <w:t>二级单位分管科研</w:t>
      </w:r>
      <w:r w:rsidR="006B3763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A3629C">
        <w:rPr>
          <w:rFonts w:ascii="仿宋_GB2312" w:eastAsia="仿宋_GB2312" w:hAnsi="宋体" w:cs="宋体" w:hint="eastAsia"/>
          <w:kern w:val="0"/>
          <w:sz w:val="32"/>
          <w:szCs w:val="32"/>
        </w:rPr>
        <w:t>负责人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审签</w:t>
      </w:r>
      <w:r w:rsidR="00647560">
        <w:rPr>
          <w:rFonts w:ascii="仿宋_GB2312" w:eastAsia="仿宋_GB2312" w:hAnsi="宋体" w:cs="宋体" w:hint="eastAsia"/>
          <w:kern w:val="0"/>
          <w:sz w:val="32"/>
          <w:szCs w:val="32"/>
        </w:rPr>
        <w:t>并加盖二级单位公章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。接待清单包括接待对象的单位、</w:t>
      </w:r>
      <w:r w:rsidR="00020F36">
        <w:rPr>
          <w:rFonts w:ascii="仿宋_GB2312" w:eastAsia="仿宋_GB2312" w:hAnsi="宋体" w:cs="宋体" w:hint="eastAsia"/>
          <w:kern w:val="0"/>
          <w:sz w:val="32"/>
          <w:szCs w:val="32"/>
        </w:rPr>
        <w:t>人数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、接待事由、时间、场所、陪餐人</w:t>
      </w:r>
      <w:r w:rsidR="00020F36">
        <w:rPr>
          <w:rFonts w:ascii="仿宋_GB2312" w:eastAsia="仿宋_GB2312" w:hAnsi="宋体" w:cs="宋体" w:hint="eastAsia"/>
          <w:kern w:val="0"/>
          <w:sz w:val="32"/>
          <w:szCs w:val="32"/>
        </w:rPr>
        <w:t>数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、费用来源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等内容。</w:t>
      </w:r>
    </w:p>
    <w:p w:rsidR="000E0176" w:rsidRPr="00E37B8E" w:rsidRDefault="008C618E" w:rsidP="000E017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报销</w:t>
      </w:r>
      <w:r w:rsidR="008E464B">
        <w:rPr>
          <w:rFonts w:ascii="仿宋_GB2312" w:eastAsia="仿宋_GB2312" w:hAnsi="宋体" w:cs="宋体" w:hint="eastAsia"/>
          <w:kern w:val="0"/>
          <w:sz w:val="32"/>
          <w:szCs w:val="32"/>
        </w:rPr>
        <w:t>科研业务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</w:t>
      </w:r>
      <w:r w:rsidR="00680728">
        <w:rPr>
          <w:rFonts w:ascii="仿宋_GB2312" w:eastAsia="仿宋_GB2312" w:hAnsi="宋体" w:cs="宋体" w:hint="eastAsia"/>
          <w:kern w:val="0"/>
          <w:sz w:val="32"/>
          <w:szCs w:val="32"/>
        </w:rPr>
        <w:t>费用</w:t>
      </w:r>
      <w:r w:rsidR="00F507D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B1277"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F507DE">
        <w:rPr>
          <w:rFonts w:ascii="仿宋_GB2312" w:eastAsia="仿宋_GB2312" w:hAnsi="宋体" w:cs="宋体" w:hint="eastAsia"/>
          <w:kern w:val="0"/>
          <w:sz w:val="32"/>
          <w:szCs w:val="32"/>
        </w:rPr>
        <w:t>提供财务票据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接待清单作为报销依据。</w:t>
      </w:r>
      <w:r w:rsidR="000E0176">
        <w:rPr>
          <w:rFonts w:ascii="仿宋_GB2312" w:eastAsia="仿宋_GB2312" w:hAnsi="宋体" w:cs="宋体" w:hint="eastAsia"/>
          <w:kern w:val="0"/>
          <w:sz w:val="32"/>
          <w:szCs w:val="32"/>
        </w:rPr>
        <w:t>因科研业务需要在外省市发生的接待费，要按照《北京交通大学科技经费管理办法》、《</w:t>
      </w:r>
      <w:hyperlink r:id="rId7" w:history="1">
        <w:r w:rsidR="000E0176" w:rsidRPr="003036AF">
          <w:rPr>
            <w:rFonts w:ascii="仿宋_GB2312" w:eastAsia="仿宋_GB2312" w:hAnsi="宋体" w:cs="宋体"/>
            <w:kern w:val="0"/>
            <w:sz w:val="32"/>
            <w:szCs w:val="32"/>
          </w:rPr>
          <w:t>北京交通大学差旅费管理办法</w:t>
        </w:r>
        <w:r w:rsidR="000E0176">
          <w:rPr>
            <w:rFonts w:ascii="仿宋_GB2312" w:eastAsia="仿宋_GB2312" w:hAnsi="宋体" w:cs="宋体" w:hint="eastAsia"/>
            <w:kern w:val="0"/>
            <w:sz w:val="32"/>
            <w:szCs w:val="32"/>
          </w:rPr>
          <w:t>》</w:t>
        </w:r>
        <w:r w:rsidR="000E0176">
          <w:rPr>
            <w:rFonts w:ascii="仿宋_GB2312" w:eastAsia="仿宋_GB2312" w:hAnsi="宋体" w:cs="宋体"/>
            <w:kern w:val="0"/>
            <w:sz w:val="32"/>
            <w:szCs w:val="32"/>
          </w:rPr>
          <w:t>的</w:t>
        </w:r>
      </w:hyperlink>
      <w:r w:rsidR="000E0176">
        <w:rPr>
          <w:rFonts w:ascii="仿宋_GB2312" w:eastAsia="仿宋_GB2312" w:hAnsi="宋体" w:cs="宋体"/>
          <w:kern w:val="0"/>
          <w:sz w:val="32"/>
          <w:szCs w:val="32"/>
        </w:rPr>
        <w:t>规定执行</w:t>
      </w:r>
      <w:r w:rsidR="000E0176">
        <w:rPr>
          <w:rFonts w:ascii="仿宋_GB2312" w:eastAsia="仿宋_GB2312" w:hAnsi="宋体" w:cs="宋体" w:hint="eastAsia"/>
          <w:kern w:val="0"/>
          <w:sz w:val="32"/>
          <w:szCs w:val="32"/>
        </w:rPr>
        <w:t>，并</w:t>
      </w:r>
      <w:r w:rsidR="000E0176" w:rsidRPr="00F74522">
        <w:rPr>
          <w:rFonts w:ascii="仿宋_GB2312" w:eastAsia="仿宋_GB2312" w:hAnsi="宋体" w:hint="eastAsia"/>
          <w:color w:val="000000"/>
          <w:sz w:val="32"/>
          <w:szCs w:val="32"/>
        </w:rPr>
        <w:t>出具有效的同程往返交通费票据和住宿费票据</w:t>
      </w:r>
      <w:r w:rsidR="000E017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C618E" w:rsidRPr="00E37B8E" w:rsidRDefault="008C618E" w:rsidP="003B70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建立接待用餐</w:t>
      </w:r>
      <w:r w:rsidR="008E464B">
        <w:rPr>
          <w:rFonts w:ascii="仿宋_GB2312" w:eastAsia="仿宋_GB2312" w:hAnsi="宋体" w:cs="宋体" w:hint="eastAsia"/>
          <w:kern w:val="0"/>
          <w:sz w:val="32"/>
          <w:szCs w:val="32"/>
        </w:rPr>
        <w:t>责任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制度。在接受相关检查时，</w:t>
      </w:r>
      <w:r w:rsidR="008E464B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E6117A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谁接待、谁负责</w:t>
      </w:r>
      <w:r w:rsidR="00E6117A"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4C6058">
        <w:rPr>
          <w:rFonts w:ascii="仿宋_GB2312" w:eastAsia="仿宋_GB2312" w:hAnsi="宋体" w:cs="宋体" w:hint="eastAsia"/>
          <w:kern w:val="0"/>
          <w:sz w:val="32"/>
          <w:szCs w:val="32"/>
        </w:rPr>
        <w:t>和“谁审批、谁负责”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的原则，相关经费负责人</w:t>
      </w:r>
      <w:r w:rsidR="008E464B">
        <w:rPr>
          <w:rFonts w:ascii="仿宋_GB2312" w:eastAsia="仿宋_GB2312" w:hAnsi="宋体" w:cs="宋体" w:hint="eastAsia"/>
          <w:kern w:val="0"/>
          <w:sz w:val="32"/>
          <w:szCs w:val="32"/>
        </w:rPr>
        <w:t>有义务按照检查部门要求</w:t>
      </w:r>
      <w:r w:rsidRPr="00E37B8E">
        <w:rPr>
          <w:rFonts w:ascii="仿宋_GB2312" w:eastAsia="仿宋_GB2312" w:hAnsi="宋体" w:cs="宋体" w:hint="eastAsia"/>
          <w:kern w:val="0"/>
          <w:sz w:val="32"/>
          <w:szCs w:val="32"/>
        </w:rPr>
        <w:t>做出说明和解释。</w:t>
      </w:r>
    </w:p>
    <w:p w:rsidR="009F1B8A" w:rsidRPr="00CA4B88" w:rsidRDefault="00CA4B88" w:rsidP="00CA4B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Chars="0" w:firstLine="567"/>
        <w:rPr>
          <w:rFonts w:ascii="仿宋_GB2312" w:eastAsia="仿宋_GB2312" w:hAnsi="宋体" w:cs="宋体"/>
          <w:kern w:val="0"/>
          <w:sz w:val="32"/>
          <w:szCs w:val="32"/>
        </w:rPr>
      </w:pPr>
      <w:r w:rsidRPr="00CA4B88">
        <w:rPr>
          <w:rFonts w:ascii="仿宋_GB2312" w:eastAsia="仿宋_GB2312" w:hAnsi="宋体" w:cs="宋体" w:hint="eastAsia"/>
          <w:kern w:val="0"/>
          <w:sz w:val="32"/>
          <w:szCs w:val="32"/>
        </w:rPr>
        <w:t>本办法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经学校</w:t>
      </w:r>
      <w:r w:rsidRPr="00CA4B88">
        <w:rPr>
          <w:rFonts w:ascii="仿宋_GB2312" w:eastAsia="仿宋_GB2312" w:hAnsi="宋体" w:cs="宋体" w:hint="eastAsia"/>
          <w:kern w:val="0"/>
          <w:sz w:val="32"/>
          <w:szCs w:val="32"/>
        </w:rPr>
        <w:t>党委常委会</w:t>
      </w:r>
      <w:r w:rsidR="00C808F4">
        <w:rPr>
          <w:rFonts w:ascii="仿宋_GB2312" w:eastAsia="仿宋_GB2312" w:hAnsi="宋体" w:cs="宋体" w:hint="eastAsia"/>
          <w:kern w:val="0"/>
          <w:sz w:val="32"/>
          <w:szCs w:val="32"/>
        </w:rPr>
        <w:t>2015年12月31日</w:t>
      </w:r>
      <w:r w:rsidRPr="00CA4B88">
        <w:rPr>
          <w:rFonts w:ascii="仿宋_GB2312" w:eastAsia="仿宋_GB2312" w:hAnsi="宋体" w:cs="宋体" w:hint="eastAsia"/>
          <w:kern w:val="0"/>
          <w:sz w:val="32"/>
          <w:szCs w:val="32"/>
        </w:rPr>
        <w:t>批准</w:t>
      </w:r>
      <w:r w:rsidR="00F8298D">
        <w:rPr>
          <w:rFonts w:ascii="仿宋_GB2312" w:eastAsia="仿宋_GB2312" w:hAnsi="宋体" w:cs="宋体" w:hint="eastAsia"/>
          <w:kern w:val="0"/>
          <w:sz w:val="32"/>
          <w:szCs w:val="32"/>
        </w:rPr>
        <w:t>，自公布之日起施行</w:t>
      </w:r>
      <w:r w:rsidR="000344D8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CA4B88">
        <w:rPr>
          <w:rFonts w:ascii="仿宋_GB2312" w:eastAsia="仿宋_GB2312" w:hAnsi="宋体" w:cs="宋体" w:hint="eastAsia"/>
          <w:kern w:val="0"/>
          <w:sz w:val="32"/>
          <w:szCs w:val="32"/>
        </w:rPr>
        <w:t>由学校科技处、社科处、财务处负责解释。</w:t>
      </w:r>
    </w:p>
    <w:p w:rsidR="009F1B8A" w:rsidRDefault="009F1B8A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2A70E0" w:rsidRPr="000D478C" w:rsidRDefault="000D478C" w:rsidP="008C618E">
      <w:pPr>
        <w:rPr>
          <w:rFonts w:ascii="仿宋_GB2312" w:eastAsia="仿宋_GB2312" w:cs="HiddenHorzOCR"/>
          <w:kern w:val="0"/>
          <w:sz w:val="32"/>
          <w:szCs w:val="32"/>
        </w:rPr>
      </w:pPr>
      <w:r w:rsidRPr="000D478C">
        <w:rPr>
          <w:rFonts w:ascii="仿宋_GB2312" w:eastAsia="仿宋_GB2312" w:cs="HiddenHorzOCR" w:hint="eastAsia"/>
          <w:kern w:val="0"/>
          <w:sz w:val="32"/>
          <w:szCs w:val="32"/>
        </w:rPr>
        <w:t xml:space="preserve">    附件：北京交通大学科研业务接待清单</w:t>
      </w:r>
    </w:p>
    <w:p w:rsidR="002A70E0" w:rsidRPr="000D478C" w:rsidRDefault="002A70E0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CA4B88" w:rsidRDefault="00CA4B88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CA4B88" w:rsidRDefault="00CA4B88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CA4B88" w:rsidRDefault="00CA4B88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CA4B88" w:rsidRDefault="00CA4B88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CA4B88" w:rsidRDefault="00CA4B88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9F1B8A" w:rsidRDefault="009F1B8A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7D0FD5" w:rsidRDefault="007D0FD5" w:rsidP="008C618E">
      <w:pPr>
        <w:rPr>
          <w:rFonts w:ascii="仿宋_GB2312" w:eastAsia="仿宋_GB2312" w:cs="HiddenHorzOCR"/>
          <w:kern w:val="0"/>
          <w:sz w:val="26"/>
          <w:szCs w:val="26"/>
        </w:rPr>
      </w:pPr>
    </w:p>
    <w:p w:rsidR="000E0176" w:rsidRPr="008C5F27" w:rsidRDefault="00BD4514" w:rsidP="008C618E">
      <w:pPr>
        <w:rPr>
          <w:rFonts w:ascii="黑体" w:eastAsia="黑体" w:hAnsi="黑体" w:cs="HiddenHorzOCR"/>
          <w:kern w:val="0"/>
          <w:sz w:val="32"/>
          <w:szCs w:val="32"/>
        </w:rPr>
      </w:pPr>
      <w:r w:rsidRPr="008C5F27">
        <w:rPr>
          <w:rFonts w:ascii="黑体" w:eastAsia="黑体" w:hAnsi="黑体" w:cs="HiddenHorzOCR"/>
          <w:kern w:val="0"/>
          <w:sz w:val="32"/>
          <w:szCs w:val="32"/>
        </w:rPr>
        <w:lastRenderedPageBreak/>
        <w:t>附件</w:t>
      </w:r>
    </w:p>
    <w:p w:rsidR="008C618E" w:rsidRPr="00AD4B28" w:rsidRDefault="00AD4B28" w:rsidP="0015528A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kern w:val="0"/>
          <w:sz w:val="44"/>
          <w:szCs w:val="44"/>
        </w:rPr>
      </w:pPr>
      <w:r>
        <w:rPr>
          <w:rFonts w:ascii="华文中宋" w:eastAsia="华文中宋" w:hAnsi="华文中宋" w:cs="HiddenHorzOCR" w:hint="eastAsia"/>
          <w:kern w:val="0"/>
          <w:sz w:val="44"/>
          <w:szCs w:val="44"/>
        </w:rPr>
        <w:t>北京交通大学</w:t>
      </w:r>
      <w:r w:rsidR="00D47B09" w:rsidRPr="00AD4B28">
        <w:rPr>
          <w:rFonts w:ascii="华文中宋" w:eastAsia="华文中宋" w:hAnsi="华文中宋" w:cs="HiddenHorzOCR" w:hint="eastAsia"/>
          <w:kern w:val="0"/>
          <w:sz w:val="44"/>
          <w:szCs w:val="44"/>
        </w:rPr>
        <w:t>科研业务</w:t>
      </w:r>
      <w:r w:rsidR="008C618E" w:rsidRPr="00AD4B28">
        <w:rPr>
          <w:rFonts w:ascii="华文中宋" w:eastAsia="华文中宋" w:hAnsi="华文中宋" w:cs="MS Mincho" w:hint="eastAsia"/>
          <w:kern w:val="0"/>
          <w:sz w:val="44"/>
          <w:szCs w:val="44"/>
        </w:rPr>
        <w:t>接待清</w:t>
      </w:r>
      <w:r w:rsidR="008C618E" w:rsidRPr="00AD4B28">
        <w:rPr>
          <w:rFonts w:ascii="华文中宋" w:eastAsia="华文中宋" w:hAnsi="华文中宋" w:cs="宋体" w:hint="eastAsia"/>
          <w:kern w:val="0"/>
          <w:sz w:val="44"/>
          <w:szCs w:val="44"/>
        </w:rPr>
        <w:t>单</w:t>
      </w:r>
    </w:p>
    <w:tbl>
      <w:tblPr>
        <w:tblW w:w="8290" w:type="dxa"/>
        <w:jc w:val="center"/>
        <w:tblLook w:val="0000"/>
      </w:tblPr>
      <w:tblGrid>
        <w:gridCol w:w="2102"/>
        <w:gridCol w:w="2143"/>
        <w:gridCol w:w="2126"/>
        <w:gridCol w:w="1919"/>
      </w:tblGrid>
      <w:tr w:rsidR="0015528A" w:rsidRPr="00445437" w:rsidTr="004C4778">
        <w:trPr>
          <w:trHeight w:val="217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8A" w:rsidRDefault="0015528A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接待事由</w:t>
            </w:r>
          </w:p>
          <w:p w:rsidR="00AD4B28" w:rsidRPr="0015528A" w:rsidRDefault="00AD4B28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(主要活动)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8A" w:rsidRPr="0015528A" w:rsidRDefault="0015528A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5528A" w:rsidRPr="00445437" w:rsidTr="004C4778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8A" w:rsidRPr="0015528A" w:rsidRDefault="0015528A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接待时间</w:t>
            </w:r>
            <w:r w:rsidR="007101C1">
              <w:rPr>
                <w:rFonts w:ascii="宋体" w:hAnsi="宋体" w:hint="eastAsia"/>
                <w:sz w:val="24"/>
                <w:szCs w:val="24"/>
              </w:rPr>
              <w:t>、地点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8A" w:rsidRPr="0015528A" w:rsidRDefault="0015528A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7101C1" w:rsidRPr="00445437" w:rsidTr="004C4778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C1" w:rsidRPr="0015528A" w:rsidRDefault="007101C1" w:rsidP="009F0F9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接待单位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1C1" w:rsidRPr="0015528A" w:rsidRDefault="007101C1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7101C1" w:rsidRPr="00445437" w:rsidTr="004C4778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9F0F9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接待对象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7101C1" w:rsidRPr="00445437" w:rsidTr="004C4778">
        <w:trPr>
          <w:trHeight w:hRule="exact" w:val="1021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9F0F9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陪同人员人数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7101C1" w:rsidRPr="00445437" w:rsidTr="0072538C">
        <w:trPr>
          <w:trHeight w:hRule="exact" w:val="439"/>
          <w:jc w:val="center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接待方式与标准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4C4778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□工作餐</w:t>
            </w:r>
            <w:r w:rsidR="004C4778">
              <w:rPr>
                <w:rFonts w:ascii="宋体" w:hAnsi="宋体" w:hint="eastAsia"/>
                <w:sz w:val="24"/>
                <w:szCs w:val="24"/>
              </w:rPr>
              <w:t>≤40/人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4C4778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自助餐</w:t>
            </w:r>
            <w:r w:rsidR="004C4778">
              <w:rPr>
                <w:rFonts w:ascii="宋体" w:hAnsi="宋体" w:hint="eastAsia"/>
                <w:sz w:val="24"/>
                <w:szCs w:val="24"/>
              </w:rPr>
              <w:t>≤80/人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Pr="0015528A" w:rsidRDefault="007101C1" w:rsidP="0072538C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桌餐≤150/人</w:t>
            </w:r>
          </w:p>
        </w:tc>
      </w:tr>
      <w:tr w:rsidR="007101C1" w:rsidRPr="00445437" w:rsidTr="0072538C">
        <w:trPr>
          <w:trHeight w:hRule="exact" w:val="378"/>
          <w:jc w:val="center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Default="007101C1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Default="007101C1" w:rsidP="007101C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Default="007101C1" w:rsidP="007101C1">
            <w:pPr>
              <w:snapToGrid w:val="0"/>
              <w:ind w:left="8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C1" w:rsidRDefault="007101C1" w:rsidP="0072538C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桌餐≤200/人</w:t>
            </w:r>
          </w:p>
        </w:tc>
      </w:tr>
      <w:tr w:rsidR="0015528A" w:rsidRPr="00445437" w:rsidTr="004C4778">
        <w:trPr>
          <w:trHeight w:val="552"/>
          <w:jc w:val="center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8A" w:rsidRDefault="00640DD3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接待费用</w:t>
            </w:r>
          </w:p>
          <w:p w:rsidR="00441780" w:rsidRPr="0015528A" w:rsidRDefault="00441780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(单位：元)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A" w:rsidRPr="0015528A" w:rsidRDefault="00640DD3" w:rsidP="0044178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用餐费用</w:t>
            </w:r>
            <w:r w:rsidR="0015528A"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5528A" w:rsidRPr="00445437" w:rsidTr="004C4778">
        <w:trPr>
          <w:trHeight w:val="560"/>
          <w:jc w:val="center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8A" w:rsidRPr="0015528A" w:rsidRDefault="0015528A" w:rsidP="0015528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A" w:rsidRPr="0015528A" w:rsidRDefault="00640DD3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住宿费用</w:t>
            </w:r>
            <w:r w:rsidR="0015528A"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5528A" w:rsidRPr="00445437" w:rsidTr="004C4778">
        <w:trPr>
          <w:trHeight w:val="540"/>
          <w:jc w:val="center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8A" w:rsidRPr="0015528A" w:rsidRDefault="0015528A" w:rsidP="0015528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8A" w:rsidRPr="0015528A" w:rsidRDefault="00640DD3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其他费用（</w:t>
            </w:r>
            <w:r w:rsidR="00A3629C">
              <w:rPr>
                <w:rFonts w:ascii="宋体" w:hAnsi="宋体" w:hint="eastAsia"/>
                <w:sz w:val="24"/>
                <w:szCs w:val="24"/>
              </w:rPr>
              <w:t>注明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="0015528A"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640DD3" w:rsidRPr="00445437" w:rsidTr="004C4778">
        <w:trPr>
          <w:trHeight w:val="735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3" w:rsidRDefault="00640DD3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  <w:p w:rsidR="00640DD3" w:rsidRPr="0015528A" w:rsidRDefault="00640DD3" w:rsidP="00F816C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（经费账号）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D3" w:rsidRPr="0015528A" w:rsidRDefault="00640DD3" w:rsidP="00F816C7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C618E" w:rsidRDefault="008C618E" w:rsidP="008C618E">
      <w:pPr>
        <w:rPr>
          <w:rFonts w:ascii="仿宋_GB2312" w:eastAsia="仿宋_GB2312"/>
        </w:rPr>
      </w:pPr>
    </w:p>
    <w:p w:rsidR="00AD4B28" w:rsidRPr="00AD4B28" w:rsidRDefault="00AD4B28" w:rsidP="008C618E">
      <w:pPr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经办人（签字）：                     联系电话：</w:t>
      </w:r>
    </w:p>
    <w:p w:rsidR="00AD4B28" w:rsidRDefault="00AD4B28" w:rsidP="008C618E">
      <w:pPr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项目负责人</w:t>
      </w:r>
      <w:r>
        <w:rPr>
          <w:rFonts w:ascii="仿宋_GB2312" w:eastAsia="仿宋_GB2312" w:hint="eastAsia"/>
          <w:sz w:val="28"/>
        </w:rPr>
        <w:t>（签字）</w:t>
      </w:r>
      <w:r w:rsidRPr="00AD4B28">
        <w:rPr>
          <w:rFonts w:ascii="仿宋_GB2312" w:eastAsia="仿宋_GB2312" w:hint="eastAsia"/>
          <w:sz w:val="28"/>
        </w:rPr>
        <w:t>：</w:t>
      </w:r>
    </w:p>
    <w:p w:rsidR="00AD4B28" w:rsidRDefault="00AD4B28" w:rsidP="008C618E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二级单位负责人（签字）：</w:t>
      </w:r>
    </w:p>
    <w:p w:rsidR="000B601C" w:rsidRPr="00AD4B28" w:rsidRDefault="000B601C" w:rsidP="008C618E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二级单位公章：</w:t>
      </w:r>
    </w:p>
    <w:sectPr w:rsidR="000B601C" w:rsidRPr="00AD4B28" w:rsidSect="00225BC3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52" w:rsidRDefault="00672D52" w:rsidP="00225BC3">
      <w:r>
        <w:separator/>
      </w:r>
    </w:p>
  </w:endnote>
  <w:endnote w:type="continuationSeparator" w:id="1">
    <w:p w:rsidR="00672D52" w:rsidRDefault="00672D52" w:rsidP="0022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5797"/>
      <w:docPartObj>
        <w:docPartGallery w:val="Page Numbers (Bottom of Page)"/>
        <w:docPartUnique/>
      </w:docPartObj>
    </w:sdtPr>
    <w:sdtContent>
      <w:p w:rsidR="00225BC3" w:rsidRDefault="002F01DE">
        <w:pPr>
          <w:pStyle w:val="a5"/>
          <w:jc w:val="right"/>
        </w:pPr>
        <w:r w:rsidRPr="00225BC3">
          <w:rPr>
            <w:sz w:val="28"/>
          </w:rPr>
          <w:fldChar w:fldCharType="begin"/>
        </w:r>
        <w:r w:rsidR="00225BC3" w:rsidRPr="00225BC3">
          <w:rPr>
            <w:sz w:val="28"/>
          </w:rPr>
          <w:instrText xml:space="preserve"> PAGE   \* MERGEFORMAT </w:instrText>
        </w:r>
        <w:r w:rsidRPr="00225BC3">
          <w:rPr>
            <w:sz w:val="28"/>
          </w:rPr>
          <w:fldChar w:fldCharType="separate"/>
        </w:r>
        <w:r w:rsidR="00780AC5" w:rsidRPr="00780AC5">
          <w:rPr>
            <w:noProof/>
            <w:sz w:val="28"/>
            <w:lang w:val="zh-CN"/>
          </w:rPr>
          <w:t>-</w:t>
        </w:r>
        <w:r w:rsidR="00780AC5">
          <w:rPr>
            <w:noProof/>
            <w:sz w:val="28"/>
          </w:rPr>
          <w:t xml:space="preserve"> 1 -</w:t>
        </w:r>
        <w:r w:rsidRPr="00225BC3">
          <w:rPr>
            <w:sz w:val="28"/>
          </w:rPr>
          <w:fldChar w:fldCharType="end"/>
        </w:r>
      </w:p>
    </w:sdtContent>
  </w:sdt>
  <w:p w:rsidR="00225BC3" w:rsidRDefault="00225B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52" w:rsidRDefault="00672D52" w:rsidP="00225BC3">
      <w:r>
        <w:separator/>
      </w:r>
    </w:p>
  </w:footnote>
  <w:footnote w:type="continuationSeparator" w:id="1">
    <w:p w:rsidR="00672D52" w:rsidRDefault="00672D52" w:rsidP="0022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241"/>
    <w:multiLevelType w:val="hybridMultilevel"/>
    <w:tmpl w:val="36D4EB92"/>
    <w:lvl w:ilvl="0" w:tplc="6826FD62">
      <w:start w:val="1"/>
      <w:numFmt w:val="japaneseCounting"/>
      <w:lvlText w:val="第%1条"/>
      <w:lvlJc w:val="left"/>
      <w:pPr>
        <w:ind w:left="5347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377" w:hanging="420"/>
      </w:pPr>
    </w:lvl>
    <w:lvl w:ilvl="2" w:tplc="0409001B" w:tentative="1">
      <w:start w:val="1"/>
      <w:numFmt w:val="lowerRoman"/>
      <w:lvlText w:val="%3."/>
      <w:lvlJc w:val="right"/>
      <w:pPr>
        <w:ind w:left="5797" w:hanging="420"/>
      </w:pPr>
    </w:lvl>
    <w:lvl w:ilvl="3" w:tplc="0409000F" w:tentative="1">
      <w:start w:val="1"/>
      <w:numFmt w:val="decimal"/>
      <w:lvlText w:val="%4."/>
      <w:lvlJc w:val="left"/>
      <w:pPr>
        <w:ind w:left="6217" w:hanging="420"/>
      </w:pPr>
    </w:lvl>
    <w:lvl w:ilvl="4" w:tplc="04090019" w:tentative="1">
      <w:start w:val="1"/>
      <w:numFmt w:val="lowerLetter"/>
      <w:lvlText w:val="%5)"/>
      <w:lvlJc w:val="left"/>
      <w:pPr>
        <w:ind w:left="6637" w:hanging="420"/>
      </w:pPr>
    </w:lvl>
    <w:lvl w:ilvl="5" w:tplc="0409001B" w:tentative="1">
      <w:start w:val="1"/>
      <w:numFmt w:val="lowerRoman"/>
      <w:lvlText w:val="%6."/>
      <w:lvlJc w:val="right"/>
      <w:pPr>
        <w:ind w:left="7057" w:hanging="420"/>
      </w:pPr>
    </w:lvl>
    <w:lvl w:ilvl="6" w:tplc="0409000F" w:tentative="1">
      <w:start w:val="1"/>
      <w:numFmt w:val="decimal"/>
      <w:lvlText w:val="%7."/>
      <w:lvlJc w:val="left"/>
      <w:pPr>
        <w:ind w:left="7477" w:hanging="420"/>
      </w:pPr>
    </w:lvl>
    <w:lvl w:ilvl="7" w:tplc="04090019" w:tentative="1">
      <w:start w:val="1"/>
      <w:numFmt w:val="lowerLetter"/>
      <w:lvlText w:val="%8)"/>
      <w:lvlJc w:val="left"/>
      <w:pPr>
        <w:ind w:left="7897" w:hanging="420"/>
      </w:pPr>
    </w:lvl>
    <w:lvl w:ilvl="8" w:tplc="0409001B" w:tentative="1">
      <w:start w:val="1"/>
      <w:numFmt w:val="lowerRoman"/>
      <w:lvlText w:val="%9."/>
      <w:lvlJc w:val="right"/>
      <w:pPr>
        <w:ind w:left="831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18E"/>
    <w:rsid w:val="00000424"/>
    <w:rsid w:val="0000081E"/>
    <w:rsid w:val="00006B9E"/>
    <w:rsid w:val="00020F36"/>
    <w:rsid w:val="000242C9"/>
    <w:rsid w:val="000344D8"/>
    <w:rsid w:val="00040914"/>
    <w:rsid w:val="0004304B"/>
    <w:rsid w:val="00073640"/>
    <w:rsid w:val="000840F8"/>
    <w:rsid w:val="00085C1A"/>
    <w:rsid w:val="000861BE"/>
    <w:rsid w:val="000A5B82"/>
    <w:rsid w:val="000B0AE9"/>
    <w:rsid w:val="000B601C"/>
    <w:rsid w:val="000C4857"/>
    <w:rsid w:val="000C4BAF"/>
    <w:rsid w:val="000D3145"/>
    <w:rsid w:val="000D478C"/>
    <w:rsid w:val="000E0176"/>
    <w:rsid w:val="000E3915"/>
    <w:rsid w:val="00120B30"/>
    <w:rsid w:val="0013679D"/>
    <w:rsid w:val="0015528A"/>
    <w:rsid w:val="00172375"/>
    <w:rsid w:val="00191E2B"/>
    <w:rsid w:val="001A6B80"/>
    <w:rsid w:val="001C1115"/>
    <w:rsid w:val="001F2553"/>
    <w:rsid w:val="001F6677"/>
    <w:rsid w:val="002022F1"/>
    <w:rsid w:val="00204B4C"/>
    <w:rsid w:val="00211D16"/>
    <w:rsid w:val="00225BC3"/>
    <w:rsid w:val="002360BD"/>
    <w:rsid w:val="0025680F"/>
    <w:rsid w:val="0026213C"/>
    <w:rsid w:val="002633A8"/>
    <w:rsid w:val="002718E8"/>
    <w:rsid w:val="002926A3"/>
    <w:rsid w:val="002A6D62"/>
    <w:rsid w:val="002A70E0"/>
    <w:rsid w:val="002B6C9C"/>
    <w:rsid w:val="002C7873"/>
    <w:rsid w:val="002E1A52"/>
    <w:rsid w:val="002E2EE7"/>
    <w:rsid w:val="002F01DE"/>
    <w:rsid w:val="002F64F0"/>
    <w:rsid w:val="003036AF"/>
    <w:rsid w:val="00383A6D"/>
    <w:rsid w:val="0039321A"/>
    <w:rsid w:val="003A14DD"/>
    <w:rsid w:val="003A2D74"/>
    <w:rsid w:val="003A3823"/>
    <w:rsid w:val="003B705E"/>
    <w:rsid w:val="003D0BA9"/>
    <w:rsid w:val="003D52BA"/>
    <w:rsid w:val="003D5C0E"/>
    <w:rsid w:val="003D5C9A"/>
    <w:rsid w:val="003F017B"/>
    <w:rsid w:val="004025FB"/>
    <w:rsid w:val="004323CB"/>
    <w:rsid w:val="00440608"/>
    <w:rsid w:val="00441780"/>
    <w:rsid w:val="004659B6"/>
    <w:rsid w:val="00465ACD"/>
    <w:rsid w:val="0048213C"/>
    <w:rsid w:val="004A6F3C"/>
    <w:rsid w:val="004B0B79"/>
    <w:rsid w:val="004B494C"/>
    <w:rsid w:val="004C4778"/>
    <w:rsid w:val="004C6058"/>
    <w:rsid w:val="004E71DE"/>
    <w:rsid w:val="00544F42"/>
    <w:rsid w:val="00546EA3"/>
    <w:rsid w:val="00566276"/>
    <w:rsid w:val="00582067"/>
    <w:rsid w:val="005A67AC"/>
    <w:rsid w:val="005A7966"/>
    <w:rsid w:val="005B3EDB"/>
    <w:rsid w:val="005B5A25"/>
    <w:rsid w:val="005C64C7"/>
    <w:rsid w:val="005D0D46"/>
    <w:rsid w:val="005D54B1"/>
    <w:rsid w:val="005D74D1"/>
    <w:rsid w:val="005E0D40"/>
    <w:rsid w:val="005E1739"/>
    <w:rsid w:val="00627FC7"/>
    <w:rsid w:val="00640DD3"/>
    <w:rsid w:val="006452EE"/>
    <w:rsid w:val="00647560"/>
    <w:rsid w:val="00665BC6"/>
    <w:rsid w:val="00665DED"/>
    <w:rsid w:val="0067009F"/>
    <w:rsid w:val="00672D52"/>
    <w:rsid w:val="00675F4E"/>
    <w:rsid w:val="00680728"/>
    <w:rsid w:val="006B3763"/>
    <w:rsid w:val="006B5959"/>
    <w:rsid w:val="006C7D38"/>
    <w:rsid w:val="006F7DB1"/>
    <w:rsid w:val="007101C1"/>
    <w:rsid w:val="00715B38"/>
    <w:rsid w:val="00725254"/>
    <w:rsid w:val="0072538C"/>
    <w:rsid w:val="00725E8D"/>
    <w:rsid w:val="00730605"/>
    <w:rsid w:val="007324DA"/>
    <w:rsid w:val="00780AC5"/>
    <w:rsid w:val="00781FBD"/>
    <w:rsid w:val="007914A0"/>
    <w:rsid w:val="00794E84"/>
    <w:rsid w:val="007959D5"/>
    <w:rsid w:val="007A4D29"/>
    <w:rsid w:val="007B1277"/>
    <w:rsid w:val="007D0FD5"/>
    <w:rsid w:val="007D3E9F"/>
    <w:rsid w:val="007E139E"/>
    <w:rsid w:val="007E2361"/>
    <w:rsid w:val="0082748F"/>
    <w:rsid w:val="00852C75"/>
    <w:rsid w:val="008630D8"/>
    <w:rsid w:val="0086597A"/>
    <w:rsid w:val="00872D9B"/>
    <w:rsid w:val="00876EDB"/>
    <w:rsid w:val="008856E7"/>
    <w:rsid w:val="00896470"/>
    <w:rsid w:val="008C5F27"/>
    <w:rsid w:val="008C618E"/>
    <w:rsid w:val="008D7ABF"/>
    <w:rsid w:val="008E464B"/>
    <w:rsid w:val="008F3A81"/>
    <w:rsid w:val="00912373"/>
    <w:rsid w:val="0092184C"/>
    <w:rsid w:val="00924601"/>
    <w:rsid w:val="00962E28"/>
    <w:rsid w:val="009636B8"/>
    <w:rsid w:val="0096480F"/>
    <w:rsid w:val="0098461C"/>
    <w:rsid w:val="009A4115"/>
    <w:rsid w:val="009E20C9"/>
    <w:rsid w:val="009F1B8A"/>
    <w:rsid w:val="009F5240"/>
    <w:rsid w:val="00A217DA"/>
    <w:rsid w:val="00A23A88"/>
    <w:rsid w:val="00A33F8E"/>
    <w:rsid w:val="00A34CBF"/>
    <w:rsid w:val="00A3629C"/>
    <w:rsid w:val="00A533F1"/>
    <w:rsid w:val="00A73795"/>
    <w:rsid w:val="00AA550E"/>
    <w:rsid w:val="00AD2D6F"/>
    <w:rsid w:val="00AD4B28"/>
    <w:rsid w:val="00AF26B6"/>
    <w:rsid w:val="00B313A0"/>
    <w:rsid w:val="00BD013B"/>
    <w:rsid w:val="00BD088F"/>
    <w:rsid w:val="00BD4514"/>
    <w:rsid w:val="00C01202"/>
    <w:rsid w:val="00C02803"/>
    <w:rsid w:val="00C11E41"/>
    <w:rsid w:val="00C12D40"/>
    <w:rsid w:val="00C15AF2"/>
    <w:rsid w:val="00C2209F"/>
    <w:rsid w:val="00C7660E"/>
    <w:rsid w:val="00C808F4"/>
    <w:rsid w:val="00CA4B88"/>
    <w:rsid w:val="00CC5EC6"/>
    <w:rsid w:val="00CD144C"/>
    <w:rsid w:val="00CD1CAF"/>
    <w:rsid w:val="00D02903"/>
    <w:rsid w:val="00D02E7A"/>
    <w:rsid w:val="00D17542"/>
    <w:rsid w:val="00D20B3D"/>
    <w:rsid w:val="00D46F53"/>
    <w:rsid w:val="00D47B09"/>
    <w:rsid w:val="00D53DAF"/>
    <w:rsid w:val="00D67FCC"/>
    <w:rsid w:val="00D92396"/>
    <w:rsid w:val="00D93A04"/>
    <w:rsid w:val="00D96017"/>
    <w:rsid w:val="00DB45EC"/>
    <w:rsid w:val="00DC2339"/>
    <w:rsid w:val="00DE4DBE"/>
    <w:rsid w:val="00DE5ABC"/>
    <w:rsid w:val="00DF7B70"/>
    <w:rsid w:val="00E14430"/>
    <w:rsid w:val="00E17BFF"/>
    <w:rsid w:val="00E37B8E"/>
    <w:rsid w:val="00E601F9"/>
    <w:rsid w:val="00E6117A"/>
    <w:rsid w:val="00E704E6"/>
    <w:rsid w:val="00E82D61"/>
    <w:rsid w:val="00ED7D67"/>
    <w:rsid w:val="00F0272B"/>
    <w:rsid w:val="00F220A2"/>
    <w:rsid w:val="00F507DE"/>
    <w:rsid w:val="00F654C9"/>
    <w:rsid w:val="00F8298D"/>
    <w:rsid w:val="00F97E82"/>
    <w:rsid w:val="00FC0E4F"/>
    <w:rsid w:val="00FF1CEF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F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2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5B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5B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45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45E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03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cc.bjtu.edu.cn/financeIndex/adminX/ueditor/jsp/upload/20150604/9589143338910613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2015-12-31T07:27:00Z</cp:lastPrinted>
  <dcterms:created xsi:type="dcterms:W3CDTF">2016-01-14T01:01:00Z</dcterms:created>
  <dcterms:modified xsi:type="dcterms:W3CDTF">2016-01-14T01:01:00Z</dcterms:modified>
</cp:coreProperties>
</file>