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2E1" w:rsidRPr="001172E1" w:rsidRDefault="001172E1" w:rsidP="001172E1">
      <w:pPr>
        <w:widowControl/>
        <w:shd w:val="clear" w:color="auto" w:fill="FFFFFF"/>
        <w:spacing w:before="100" w:beforeAutospacing="1" w:after="100" w:afterAutospacing="1"/>
        <w:jc w:val="left"/>
        <w:outlineLvl w:val="0"/>
        <w:rPr>
          <w:rFonts w:ascii="宋体" w:eastAsia="宋体" w:hAnsi="宋体" w:cs="宋体"/>
          <w:b/>
          <w:bCs/>
          <w:kern w:val="36"/>
          <w:sz w:val="48"/>
          <w:szCs w:val="48"/>
        </w:rPr>
      </w:pPr>
      <w:r w:rsidRPr="001172E1">
        <w:rPr>
          <w:rFonts w:ascii="宋体" w:eastAsia="宋体" w:hAnsi="宋体" w:cs="宋体"/>
          <w:b/>
          <w:bCs/>
          <w:kern w:val="36"/>
          <w:sz w:val="48"/>
          <w:szCs w:val="48"/>
        </w:rPr>
        <w:t>北京交通大学易制毒化学品管理办法</w:t>
      </w:r>
    </w:p>
    <w:p w:rsidR="001172E1" w:rsidRPr="001172E1" w:rsidRDefault="001172E1" w:rsidP="001172E1">
      <w:pPr>
        <w:widowControl/>
        <w:shd w:val="clear" w:color="auto" w:fill="FFFFFF"/>
        <w:jc w:val="left"/>
        <w:rPr>
          <w:rFonts w:ascii="宋体" w:eastAsia="宋体" w:hAnsi="宋体" w:cs="宋体"/>
          <w:kern w:val="0"/>
          <w:sz w:val="18"/>
          <w:szCs w:val="18"/>
        </w:rPr>
      </w:pPr>
      <w:r w:rsidRPr="001172E1">
        <w:rPr>
          <w:rFonts w:ascii="宋体" w:eastAsia="宋体" w:hAnsi="宋体" w:cs="宋体"/>
          <w:kern w:val="0"/>
          <w:sz w:val="18"/>
          <w:szCs w:val="18"/>
        </w:rPr>
        <w:t xml:space="preserve">作者: 发布时间:2016-07-19 </w:t>
      </w:r>
    </w:p>
    <w:p w:rsidR="001172E1" w:rsidRPr="001172E1" w:rsidRDefault="001172E1" w:rsidP="001172E1">
      <w:pPr>
        <w:widowControl/>
        <w:shd w:val="clear" w:color="auto" w:fill="FFFFFF"/>
        <w:spacing w:before="100" w:beforeAutospacing="1" w:after="100" w:afterAutospacing="1"/>
        <w:jc w:val="center"/>
        <w:rPr>
          <w:rFonts w:ascii="宋体" w:eastAsia="宋体" w:hAnsi="宋体" w:cs="宋体"/>
          <w:kern w:val="0"/>
          <w:sz w:val="18"/>
          <w:szCs w:val="18"/>
        </w:rPr>
      </w:pPr>
      <w:r w:rsidRPr="001172E1">
        <w:rPr>
          <w:rFonts w:ascii="黑体" w:eastAsia="黑体" w:hAnsi="黑体" w:cs="宋体" w:hint="eastAsia"/>
          <w:kern w:val="0"/>
          <w:sz w:val="36"/>
          <w:szCs w:val="36"/>
        </w:rPr>
        <w:t>第一章</w:t>
      </w:r>
      <w:r w:rsidRPr="001172E1">
        <w:rPr>
          <w:rFonts w:ascii="Calibri" w:eastAsia="黑体" w:hAnsi="Calibri" w:cs="Calibri"/>
          <w:kern w:val="0"/>
          <w:sz w:val="36"/>
          <w:szCs w:val="36"/>
        </w:rPr>
        <w:t> </w:t>
      </w:r>
      <w:r w:rsidRPr="001172E1">
        <w:rPr>
          <w:rFonts w:ascii="黑体" w:eastAsia="黑体" w:hAnsi="黑体" w:cs="宋体" w:hint="eastAsia"/>
          <w:kern w:val="0"/>
          <w:sz w:val="36"/>
          <w:szCs w:val="36"/>
        </w:rPr>
        <w:t xml:space="preserve"> 总则</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t>第一条</w:t>
      </w:r>
      <w:r w:rsidRPr="001172E1">
        <w:rPr>
          <w:rFonts w:ascii="宋体" w:eastAsia="宋体" w:hAnsi="宋体" w:cs="宋体"/>
          <w:kern w:val="0"/>
          <w:sz w:val="36"/>
          <w:szCs w:val="36"/>
        </w:rPr>
        <w:t xml:space="preserve">  </w:t>
      </w:r>
      <w:r w:rsidRPr="001172E1">
        <w:rPr>
          <w:rFonts w:ascii="仿宋_gb2312" w:eastAsia="仿宋_gb2312" w:hAnsi="宋体" w:cs="宋体" w:hint="eastAsia"/>
          <w:kern w:val="0"/>
          <w:sz w:val="36"/>
          <w:szCs w:val="36"/>
        </w:rPr>
        <w:t>为进一步加强对易制毒化学品的管理，明确学校相关职能部门对易制毒化学品的管理职责，规范各使用单位易制毒化学品的购买行为，严防易制毒化学品被用于制造毒品等意外事故的发生，根据中华人民共和国《易制毒化学品管理条例》（国务院令第445</w:t>
      </w:r>
      <w:r w:rsidRPr="001172E1">
        <w:rPr>
          <w:rFonts w:ascii="宋体" w:eastAsia="宋体" w:hAnsi="宋体" w:cs="宋体"/>
          <w:kern w:val="0"/>
          <w:sz w:val="36"/>
          <w:szCs w:val="36"/>
        </w:rPr>
        <w:t>号）、《易制毒化学品购销和运输管理办法》（公安部令第87</w:t>
      </w:r>
      <w:r w:rsidRPr="001172E1">
        <w:rPr>
          <w:rFonts w:ascii="宋体" w:eastAsia="宋体" w:hAnsi="宋体" w:cs="宋体"/>
          <w:kern w:val="0"/>
          <w:sz w:val="18"/>
          <w:szCs w:val="18"/>
        </w:rPr>
        <w:t>号）的相关规定，结合学校实际情况，特制定本管理办法。</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t>第二条</w:t>
      </w:r>
      <w:r w:rsidRPr="001172E1">
        <w:rPr>
          <w:rFonts w:ascii="宋体" w:eastAsia="宋体" w:hAnsi="宋体" w:cs="宋体"/>
          <w:kern w:val="0"/>
          <w:sz w:val="36"/>
          <w:szCs w:val="36"/>
        </w:rPr>
        <w:t xml:space="preserve">  </w:t>
      </w:r>
      <w:r w:rsidRPr="001172E1">
        <w:rPr>
          <w:rFonts w:ascii="仿宋_gb2312" w:eastAsia="仿宋_gb2312" w:hAnsi="宋体" w:cs="宋体" w:hint="eastAsia"/>
          <w:kern w:val="0"/>
          <w:sz w:val="36"/>
          <w:szCs w:val="36"/>
        </w:rPr>
        <w:t>易制毒化学品是指国家规定管制的可用于制造毒品的化学品。易制毒化学品分为三类。第一类是可以用于制毒的主要原料，第二类、第三类是可以用于制毒的化学配剂。具体分类和品种见国家《易制毒化学品的分类和品种目录》。</w:t>
      </w:r>
    </w:p>
    <w:p w:rsidR="001172E1" w:rsidRPr="001172E1" w:rsidRDefault="001172E1" w:rsidP="001172E1">
      <w:pPr>
        <w:widowControl/>
        <w:shd w:val="clear" w:color="auto" w:fill="FFFFFF"/>
        <w:spacing w:before="100" w:beforeAutospacing="1" w:after="100" w:afterAutospacing="1"/>
        <w:jc w:val="center"/>
        <w:rPr>
          <w:rFonts w:ascii="宋体" w:eastAsia="宋体" w:hAnsi="宋体" w:cs="宋体"/>
          <w:kern w:val="0"/>
          <w:sz w:val="18"/>
          <w:szCs w:val="18"/>
        </w:rPr>
      </w:pPr>
      <w:r w:rsidRPr="001172E1">
        <w:rPr>
          <w:rFonts w:ascii="黑体" w:eastAsia="黑体" w:hAnsi="黑体" w:cs="宋体" w:hint="eastAsia"/>
          <w:kern w:val="0"/>
          <w:sz w:val="36"/>
          <w:szCs w:val="36"/>
        </w:rPr>
        <w:t>第二章 易制毒化学品的机构管理</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t>第三条</w:t>
      </w:r>
      <w:r w:rsidRPr="001172E1">
        <w:rPr>
          <w:rFonts w:ascii="宋体" w:eastAsia="宋体" w:hAnsi="宋体" w:cs="宋体"/>
          <w:kern w:val="0"/>
          <w:sz w:val="36"/>
          <w:szCs w:val="36"/>
        </w:rPr>
        <w:t xml:space="preserve">  </w:t>
      </w:r>
      <w:r w:rsidRPr="001172E1">
        <w:rPr>
          <w:rFonts w:ascii="仿宋_gb2312" w:eastAsia="仿宋_gb2312" w:hAnsi="宋体" w:cs="宋体" w:hint="eastAsia"/>
          <w:kern w:val="0"/>
          <w:sz w:val="36"/>
          <w:szCs w:val="36"/>
        </w:rPr>
        <w:t>学校保卫处（安全生产办公室）作为学校易制毒化学品的主管部门，负责全校易制毒化学品的计划、采购、储存、使用、废弃物处置等过程的监</w:t>
      </w:r>
      <w:r w:rsidRPr="001172E1">
        <w:rPr>
          <w:rFonts w:ascii="仿宋_gb2312" w:eastAsia="仿宋_gb2312" w:hAnsi="宋体" w:cs="宋体" w:hint="eastAsia"/>
          <w:kern w:val="0"/>
          <w:sz w:val="36"/>
          <w:szCs w:val="36"/>
        </w:rPr>
        <w:lastRenderedPageBreak/>
        <w:t>管，具体负责办理易制毒化学品的公安登记备案，并与公安机关协调相关工作。</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Calibri" w:eastAsia="仿宋_gb2312" w:hAnsi="Calibri" w:cs="Calibri"/>
          <w:kern w:val="0"/>
          <w:sz w:val="36"/>
          <w:szCs w:val="36"/>
        </w:rPr>
        <w:t>后勤管理处（环境保护办公室）具体负责易制毒化学废弃物处置的监督与管理，做好各使用单位与专业环保回收企业的相关协调工作。</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Calibri" w:eastAsia="仿宋_gb2312" w:hAnsi="Calibri" w:cs="Calibri"/>
          <w:kern w:val="0"/>
          <w:sz w:val="36"/>
          <w:szCs w:val="36"/>
        </w:rPr>
        <w:t>教务处、研究生院、科技处及后勤集团分别对口负责用于教学、科研及其它方面的易制毒化学品的采购计划审批，并对在教学、科研及其它用途中易制毒化学品的使用情况进行监督与管理。</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Calibri" w:eastAsia="仿宋_gb2312" w:hAnsi="Calibri" w:cs="Calibri"/>
          <w:kern w:val="0"/>
          <w:sz w:val="36"/>
          <w:szCs w:val="36"/>
        </w:rPr>
        <w:t>实验室及设备管理处负责对实验室易制毒化学品的储存、使用和废弃物处置进行监管。</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Calibri" w:eastAsia="仿宋_gb2312" w:hAnsi="Calibri" w:cs="Calibri"/>
          <w:kern w:val="0"/>
          <w:sz w:val="36"/>
          <w:szCs w:val="36"/>
        </w:rPr>
        <w:t>财务处具体负责各使用单位易制毒化学品采购及化学废弃物处置经费的核准、报销。</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t>第四条</w:t>
      </w:r>
      <w:r w:rsidRPr="001172E1">
        <w:rPr>
          <w:rFonts w:ascii="宋体" w:eastAsia="宋体" w:hAnsi="宋体" w:cs="宋体"/>
          <w:kern w:val="0"/>
          <w:sz w:val="36"/>
          <w:szCs w:val="36"/>
        </w:rPr>
        <w:t xml:space="preserve">  </w:t>
      </w:r>
      <w:r w:rsidRPr="001172E1">
        <w:rPr>
          <w:rFonts w:ascii="仿宋_gb2312" w:eastAsia="仿宋_gb2312" w:hAnsi="宋体" w:cs="宋体" w:hint="eastAsia"/>
          <w:kern w:val="0"/>
          <w:sz w:val="36"/>
          <w:szCs w:val="36"/>
        </w:rPr>
        <w:t>涉及易制毒化学品的各使用单位，须建立本单位内部的易制毒化学品管理制度，并在各自的职责范围内，负责本单位易制毒化学品计划、采购、储存、使用及废弃物处置等工作的具体实施与管理。</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Calibri" w:eastAsia="仿宋_gb2312" w:hAnsi="Calibri" w:cs="Calibri"/>
          <w:kern w:val="0"/>
          <w:sz w:val="36"/>
          <w:szCs w:val="36"/>
        </w:rPr>
        <w:lastRenderedPageBreak/>
        <w:t>单位的总负责人是本单位易制毒化学品管理的第一责任人，对本单位的易制毒化学品的计划、采购、使用、储存及废弃物处置等工作负总责。</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Calibri" w:eastAsia="仿宋_gb2312" w:hAnsi="Calibri" w:cs="Calibri"/>
          <w:kern w:val="0"/>
          <w:sz w:val="36"/>
          <w:szCs w:val="36"/>
        </w:rPr>
        <w:t>单位的主管领导应协助第一责任人落实各项易制毒化学品法律法规、标准，统筹协调、综合管理，对本单位易制毒化学品工作负领导责任。</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Calibri" w:eastAsia="仿宋_gb2312" w:hAnsi="Calibri" w:cs="Calibri"/>
          <w:kern w:val="0"/>
          <w:sz w:val="36"/>
          <w:szCs w:val="36"/>
        </w:rPr>
        <w:t>使用单位易制毒化学品的专管人员应协助单位主管领导承担日常易制毒化学品管理工作，对单位易制毒化学品工作负直接管理责任。</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Calibri" w:eastAsia="仿宋_gb2312" w:hAnsi="Calibri" w:cs="Calibri"/>
          <w:kern w:val="0"/>
          <w:sz w:val="36"/>
          <w:szCs w:val="36"/>
        </w:rPr>
        <w:t>单位易制毒化学品的保管人员、领用人员和使用人员分别对其保管、发放、领用和使用的易制毒化学品负有直接责任。</w:t>
      </w:r>
    </w:p>
    <w:p w:rsidR="001172E1" w:rsidRPr="001172E1" w:rsidRDefault="001172E1" w:rsidP="001172E1">
      <w:pPr>
        <w:widowControl/>
        <w:shd w:val="clear" w:color="auto" w:fill="FFFFFF"/>
        <w:spacing w:before="100" w:beforeAutospacing="1" w:after="100" w:afterAutospacing="1"/>
        <w:jc w:val="center"/>
        <w:rPr>
          <w:rFonts w:ascii="宋体" w:eastAsia="宋体" w:hAnsi="宋体" w:cs="宋体"/>
          <w:kern w:val="0"/>
          <w:sz w:val="18"/>
          <w:szCs w:val="18"/>
        </w:rPr>
      </w:pPr>
      <w:r w:rsidRPr="001172E1">
        <w:rPr>
          <w:rFonts w:ascii="黑体" w:eastAsia="黑体" w:hAnsi="黑体" w:cs="宋体" w:hint="eastAsia"/>
          <w:kern w:val="0"/>
          <w:sz w:val="36"/>
          <w:szCs w:val="36"/>
        </w:rPr>
        <w:t>第三章 易制毒化学品的购买管理</w:t>
      </w:r>
    </w:p>
    <w:p w:rsidR="001172E1" w:rsidRPr="001172E1" w:rsidRDefault="001172E1" w:rsidP="001172E1">
      <w:pPr>
        <w:widowControl/>
        <w:shd w:val="clear" w:color="auto" w:fill="FFFFFF"/>
        <w:spacing w:before="100" w:beforeAutospacing="1" w:after="100" w:afterAutospacing="1"/>
        <w:jc w:val="left"/>
        <w:rPr>
          <w:rFonts w:ascii="仿宋_gb2312" w:eastAsia="仿宋_gb2312" w:hAnsi="宋体" w:cs="宋体"/>
          <w:b/>
          <w:bCs/>
          <w:color w:val="FF0000"/>
          <w:kern w:val="0"/>
          <w:sz w:val="36"/>
          <w:szCs w:val="36"/>
        </w:rPr>
      </w:pPr>
      <w:r w:rsidRPr="001172E1">
        <w:rPr>
          <w:rFonts w:ascii="仿宋_gb2312" w:eastAsia="仿宋_gb2312" w:hAnsi="Calibri" w:cs="Calibri" w:hint="eastAsia"/>
          <w:b/>
          <w:bCs/>
          <w:kern w:val="0"/>
          <w:sz w:val="36"/>
          <w:szCs w:val="36"/>
        </w:rPr>
        <w:t>第五条</w:t>
      </w:r>
      <w:r w:rsidRPr="001172E1">
        <w:rPr>
          <w:rFonts w:ascii="宋体" w:eastAsia="宋体" w:hAnsi="宋体" w:cs="宋体"/>
          <w:kern w:val="0"/>
          <w:sz w:val="36"/>
          <w:szCs w:val="36"/>
        </w:rPr>
        <w:t xml:space="preserve">  </w:t>
      </w:r>
      <w:r w:rsidRPr="001172E1">
        <w:rPr>
          <w:rFonts w:ascii="仿宋_gb2312" w:eastAsia="仿宋_gb2312" w:hAnsi="宋体" w:cs="宋体" w:hint="eastAsia"/>
          <w:kern w:val="0"/>
          <w:sz w:val="36"/>
          <w:szCs w:val="36"/>
        </w:rPr>
        <w:t>易制毒化学品的使用单位应本着实事求是的原则，每次按一个学期的使用量制定采购计划，不得超购超贮。</w:t>
      </w:r>
      <w:r w:rsidRPr="001172E1">
        <w:rPr>
          <w:rFonts w:ascii="仿宋_gb2312" w:eastAsia="仿宋_gb2312" w:hAnsi="宋体" w:cs="宋体" w:hint="eastAsia"/>
          <w:b/>
          <w:bCs/>
          <w:color w:val="FF0000"/>
          <w:kern w:val="0"/>
          <w:sz w:val="36"/>
          <w:szCs w:val="36"/>
        </w:rPr>
        <w:t>每年的5</w:t>
      </w:r>
      <w:r w:rsidRPr="001172E1">
        <w:rPr>
          <w:rFonts w:ascii="宋体" w:eastAsia="宋体" w:hAnsi="宋体" w:cs="宋体"/>
          <w:b/>
          <w:bCs/>
          <w:color w:val="FF0000"/>
          <w:kern w:val="0"/>
          <w:sz w:val="36"/>
          <w:szCs w:val="36"/>
        </w:rPr>
        <w:t>月份和</w:t>
      </w:r>
      <w:r w:rsidRPr="001172E1">
        <w:rPr>
          <w:rFonts w:ascii="仿宋_gb2312" w:eastAsia="仿宋_gb2312" w:hAnsi="宋体" w:cs="宋体"/>
          <w:b/>
          <w:bCs/>
          <w:color w:val="FF0000"/>
          <w:kern w:val="0"/>
          <w:sz w:val="36"/>
          <w:szCs w:val="36"/>
        </w:rPr>
        <w:t>11月份申报下个学期的购买计划，计划要有使用单位易制毒化学品专管人员、使用单位主管领导、和单位第一责任人分别签字确认，加盖单位公章方有效。</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Calibri" w:eastAsia="仿宋_gb2312" w:hAnsi="Calibri" w:cs="Calibri"/>
          <w:kern w:val="0"/>
          <w:sz w:val="36"/>
          <w:szCs w:val="36"/>
        </w:rPr>
        <w:lastRenderedPageBreak/>
        <w:t>购买计划必须涵盖以下内容：</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微软雅黑" w:eastAsia="微软雅黑" w:hAnsi="微软雅黑" w:cs="微软雅黑" w:hint="eastAsia"/>
          <w:kern w:val="0"/>
          <w:sz w:val="36"/>
          <w:szCs w:val="36"/>
        </w:rPr>
        <w:t>⑴</w:t>
      </w:r>
      <w:r w:rsidRPr="001172E1">
        <w:rPr>
          <w:rFonts w:ascii="Calibri" w:eastAsia="仿宋_gb2312" w:hAnsi="Calibri" w:cs="Calibri"/>
          <w:kern w:val="0"/>
          <w:sz w:val="36"/>
          <w:szCs w:val="36"/>
        </w:rPr>
        <w:t xml:space="preserve"> </w:t>
      </w:r>
      <w:r w:rsidRPr="001172E1">
        <w:rPr>
          <w:rFonts w:ascii="Calibri" w:eastAsia="仿宋_gb2312" w:hAnsi="Calibri" w:cs="Calibri"/>
          <w:kern w:val="0"/>
          <w:sz w:val="36"/>
          <w:szCs w:val="36"/>
        </w:rPr>
        <w:t>计划周期内需求种类和数量；</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微软雅黑" w:eastAsia="微软雅黑" w:hAnsi="微软雅黑" w:cs="微软雅黑" w:hint="eastAsia"/>
          <w:kern w:val="0"/>
          <w:sz w:val="36"/>
          <w:szCs w:val="36"/>
        </w:rPr>
        <w:t>⑵</w:t>
      </w:r>
      <w:r w:rsidRPr="001172E1">
        <w:rPr>
          <w:rFonts w:ascii="Calibri" w:eastAsia="仿宋_gb2312" w:hAnsi="Calibri" w:cs="Calibri"/>
          <w:kern w:val="0"/>
          <w:sz w:val="36"/>
          <w:szCs w:val="36"/>
        </w:rPr>
        <w:t xml:space="preserve"> </w:t>
      </w:r>
      <w:r w:rsidRPr="001172E1">
        <w:rPr>
          <w:rFonts w:ascii="Calibri" w:eastAsia="仿宋_gb2312" w:hAnsi="Calibri" w:cs="Calibri"/>
          <w:kern w:val="0"/>
          <w:sz w:val="36"/>
          <w:szCs w:val="36"/>
        </w:rPr>
        <w:t>实际用途（特别说明将其用在哪个环节，起何作用）；</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微软雅黑" w:eastAsia="微软雅黑" w:hAnsi="微软雅黑" w:cs="微软雅黑" w:hint="eastAsia"/>
          <w:kern w:val="0"/>
          <w:sz w:val="36"/>
          <w:szCs w:val="36"/>
        </w:rPr>
        <w:t>⑶</w:t>
      </w:r>
      <w:r w:rsidRPr="001172E1">
        <w:rPr>
          <w:rFonts w:ascii="Calibri" w:eastAsia="仿宋_gb2312" w:hAnsi="Calibri" w:cs="Calibri"/>
          <w:kern w:val="0"/>
          <w:sz w:val="36"/>
          <w:szCs w:val="36"/>
        </w:rPr>
        <w:t xml:space="preserve"> </w:t>
      </w:r>
      <w:r w:rsidRPr="001172E1">
        <w:rPr>
          <w:rFonts w:ascii="Calibri" w:eastAsia="仿宋_gb2312" w:hAnsi="Calibri" w:cs="Calibri"/>
          <w:kern w:val="0"/>
          <w:sz w:val="36"/>
          <w:szCs w:val="36"/>
        </w:rPr>
        <w:t>购买、储存、使用、处置等全过程管理安全论证；</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微软雅黑" w:eastAsia="微软雅黑" w:hAnsi="微软雅黑" w:cs="微软雅黑" w:hint="eastAsia"/>
          <w:kern w:val="0"/>
          <w:sz w:val="36"/>
          <w:szCs w:val="36"/>
        </w:rPr>
        <w:t>⑷</w:t>
      </w:r>
      <w:r w:rsidRPr="001172E1">
        <w:rPr>
          <w:rFonts w:ascii="Calibri" w:eastAsia="仿宋_gb2312" w:hAnsi="Calibri" w:cs="Calibri"/>
          <w:kern w:val="0"/>
          <w:sz w:val="36"/>
          <w:szCs w:val="36"/>
        </w:rPr>
        <w:t xml:space="preserve"> </w:t>
      </w:r>
      <w:r w:rsidRPr="001172E1">
        <w:rPr>
          <w:rFonts w:ascii="Calibri" w:eastAsia="仿宋_gb2312" w:hAnsi="Calibri" w:cs="Calibri"/>
          <w:kern w:val="0"/>
          <w:sz w:val="36"/>
          <w:szCs w:val="36"/>
        </w:rPr>
        <w:t>供货方资质审核情况说明；</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微软雅黑" w:eastAsia="微软雅黑" w:hAnsi="微软雅黑" w:cs="微软雅黑"/>
          <w:kern w:val="0"/>
          <w:sz w:val="36"/>
          <w:szCs w:val="36"/>
        </w:rPr>
        <w:t>⑸</w:t>
      </w:r>
      <w:r w:rsidRPr="001172E1">
        <w:rPr>
          <w:rFonts w:ascii="Calibri" w:eastAsia="仿宋_gb2312" w:hAnsi="Calibri" w:cs="Calibri"/>
          <w:kern w:val="0"/>
          <w:sz w:val="36"/>
          <w:szCs w:val="36"/>
        </w:rPr>
        <w:t xml:space="preserve"> </w:t>
      </w:r>
      <w:r w:rsidRPr="001172E1">
        <w:rPr>
          <w:rFonts w:ascii="Calibri" w:eastAsia="仿宋_gb2312" w:hAnsi="Calibri" w:cs="Calibri"/>
          <w:kern w:val="0"/>
          <w:sz w:val="36"/>
          <w:szCs w:val="36"/>
        </w:rPr>
        <w:t>单位易制毒化学品安全管理制度及措施、责任体系说明；</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微软雅黑" w:eastAsia="微软雅黑" w:hAnsi="微软雅黑" w:cs="微软雅黑"/>
          <w:kern w:val="0"/>
          <w:sz w:val="36"/>
          <w:szCs w:val="36"/>
        </w:rPr>
        <w:t>⑹</w:t>
      </w:r>
      <w:r w:rsidRPr="001172E1">
        <w:rPr>
          <w:rFonts w:ascii="Calibri" w:eastAsia="仿宋_gb2312" w:hAnsi="Calibri" w:cs="Calibri"/>
          <w:kern w:val="0"/>
          <w:sz w:val="36"/>
          <w:szCs w:val="36"/>
        </w:rPr>
        <w:t xml:space="preserve"> </w:t>
      </w:r>
      <w:r w:rsidRPr="001172E1">
        <w:rPr>
          <w:rFonts w:ascii="Calibri" w:eastAsia="仿宋_gb2312" w:hAnsi="Calibri" w:cs="Calibri"/>
          <w:kern w:val="0"/>
          <w:sz w:val="36"/>
          <w:szCs w:val="36"/>
        </w:rPr>
        <w:t>单位设置专门存放易制毒化学品的库房或保险柜安防措施说明；</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微软雅黑" w:eastAsia="微软雅黑" w:hAnsi="微软雅黑" w:cs="微软雅黑" w:hint="eastAsia"/>
          <w:kern w:val="0"/>
          <w:sz w:val="36"/>
          <w:szCs w:val="36"/>
        </w:rPr>
        <w:t>⑺</w:t>
      </w:r>
      <w:r w:rsidRPr="001172E1">
        <w:rPr>
          <w:rFonts w:ascii="Calibri" w:eastAsia="仿宋_gb2312" w:hAnsi="Calibri" w:cs="Calibri"/>
          <w:kern w:val="0"/>
          <w:sz w:val="36"/>
          <w:szCs w:val="36"/>
        </w:rPr>
        <w:t xml:space="preserve"> </w:t>
      </w:r>
      <w:r w:rsidRPr="001172E1">
        <w:rPr>
          <w:rFonts w:ascii="Calibri" w:eastAsia="仿宋_gb2312" w:hAnsi="Calibri" w:cs="Calibri"/>
          <w:kern w:val="0"/>
          <w:sz w:val="36"/>
          <w:szCs w:val="36"/>
        </w:rPr>
        <w:t>本计划周期内项目管理说明；</w:t>
      </w:r>
      <w:r w:rsidRPr="001172E1">
        <w:rPr>
          <w:rFonts w:ascii="Calibri" w:eastAsia="仿宋_gb2312" w:hAnsi="Calibri" w:cs="Calibri"/>
          <w:kern w:val="0"/>
          <w:sz w:val="36"/>
          <w:szCs w:val="36"/>
        </w:rPr>
        <w:t xml:space="preserve"> </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微软雅黑" w:eastAsia="微软雅黑" w:hAnsi="微软雅黑" w:cs="微软雅黑"/>
          <w:kern w:val="0"/>
          <w:sz w:val="36"/>
          <w:szCs w:val="36"/>
        </w:rPr>
        <w:t>⑻</w:t>
      </w:r>
      <w:r w:rsidRPr="001172E1">
        <w:rPr>
          <w:rFonts w:ascii="Calibri" w:eastAsia="仿宋_gb2312" w:hAnsi="Calibri" w:cs="Calibri"/>
          <w:kern w:val="0"/>
          <w:sz w:val="36"/>
          <w:szCs w:val="36"/>
        </w:rPr>
        <w:t xml:space="preserve"> </w:t>
      </w:r>
      <w:r w:rsidRPr="001172E1">
        <w:rPr>
          <w:rFonts w:ascii="Calibri" w:eastAsia="仿宋_gb2312" w:hAnsi="Calibri" w:cs="Calibri"/>
          <w:kern w:val="0"/>
          <w:sz w:val="36"/>
          <w:szCs w:val="36"/>
        </w:rPr>
        <w:t>上个计划周期内单位易制毒化学品台账，包括购买、储存、领用、处置等各环节易制毒化学品明细、日期、责任人员等信息记录情况。</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t xml:space="preserve">第六条 </w:t>
      </w:r>
      <w:r w:rsidRPr="001172E1">
        <w:rPr>
          <w:rFonts w:ascii="仿宋_gb2312" w:eastAsia="仿宋_gb2312" w:hAnsi="宋体" w:cs="宋体" w:hint="eastAsia"/>
          <w:kern w:val="0"/>
          <w:sz w:val="36"/>
          <w:szCs w:val="36"/>
        </w:rPr>
        <w:t> </w:t>
      </w:r>
      <w:r w:rsidRPr="001172E1">
        <w:rPr>
          <w:rFonts w:ascii="仿宋_gb2312" w:eastAsia="仿宋_gb2312" w:hAnsi="宋体" w:cs="宋体" w:hint="eastAsia"/>
          <w:b/>
          <w:bCs/>
          <w:color w:val="FF0000"/>
          <w:kern w:val="0"/>
          <w:sz w:val="36"/>
          <w:szCs w:val="36"/>
        </w:rPr>
        <w:t>由使用单位根据易制毒化学品的具体用途将申请购买计划提交到学校对口负责的相关职能部门（教学用易制毒化学品报到教务处、研究生院；</w:t>
      </w:r>
      <w:bookmarkStart w:id="0" w:name="_GoBack"/>
      <w:bookmarkEnd w:id="0"/>
      <w:r w:rsidRPr="001172E1">
        <w:rPr>
          <w:rFonts w:ascii="仿宋_gb2312" w:eastAsia="仿宋_gb2312" w:hAnsi="宋体" w:cs="宋体" w:hint="eastAsia"/>
          <w:b/>
          <w:bCs/>
          <w:color w:val="FF0000"/>
          <w:kern w:val="0"/>
          <w:sz w:val="36"/>
          <w:szCs w:val="36"/>
        </w:rPr>
        <w:lastRenderedPageBreak/>
        <w:t>科研用易制毒化学品报到科技处；其他用报到后勤集团），经审核批准后，携带相关材料到保卫处办理网上申报，由当地公安机关审核并获得购买许可后方可</w:t>
      </w:r>
      <w:r w:rsidRPr="001172E1">
        <w:rPr>
          <w:rFonts w:ascii="仿宋_gb2312" w:eastAsia="仿宋_gb2312" w:hAnsi="宋体" w:cs="宋体" w:hint="eastAsia"/>
          <w:kern w:val="0"/>
          <w:sz w:val="36"/>
          <w:szCs w:val="36"/>
        </w:rPr>
        <w:t>购买。</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Calibri" w:eastAsia="仿宋_gb2312" w:hAnsi="Calibri" w:cs="Calibri"/>
          <w:kern w:val="0"/>
          <w:sz w:val="36"/>
          <w:szCs w:val="36"/>
        </w:rPr>
        <w:t>易制毒化学品的采购证明材料及审批材料的复印件，统一报保卫处登记备案，并应保存五年备查。</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t>第七条</w:t>
      </w:r>
      <w:r w:rsidRPr="001172E1">
        <w:rPr>
          <w:rFonts w:ascii="仿宋_gb2312" w:eastAsia="仿宋_gb2312" w:hAnsi="Calibri" w:cs="Calibri" w:hint="eastAsia"/>
          <w:b/>
          <w:bCs/>
          <w:kern w:val="0"/>
          <w:sz w:val="36"/>
          <w:szCs w:val="36"/>
        </w:rPr>
        <w:t> </w:t>
      </w:r>
      <w:r w:rsidRPr="001172E1">
        <w:rPr>
          <w:rFonts w:ascii="仿宋_gb2312" w:eastAsia="仿宋_gb2312" w:hAnsi="Calibri" w:cs="Calibri" w:hint="eastAsia"/>
          <w:b/>
          <w:bCs/>
          <w:kern w:val="0"/>
          <w:sz w:val="36"/>
          <w:szCs w:val="36"/>
        </w:rPr>
        <w:t xml:space="preserve"> </w:t>
      </w:r>
      <w:r w:rsidRPr="001172E1">
        <w:rPr>
          <w:rFonts w:ascii="仿宋_gb2312" w:eastAsia="仿宋_gb2312" w:hAnsi="宋体" w:cs="宋体" w:hint="eastAsia"/>
          <w:kern w:val="0"/>
          <w:sz w:val="36"/>
          <w:szCs w:val="36"/>
        </w:rPr>
        <w:t>学校建立由国家规定使用的</w:t>
      </w:r>
      <w:r w:rsidRPr="001172E1">
        <w:rPr>
          <w:rFonts w:ascii="仿宋" w:eastAsia="仿宋" w:hAnsi="仿宋" w:cs="宋体" w:hint="eastAsia"/>
          <w:kern w:val="0"/>
          <w:sz w:val="36"/>
          <w:szCs w:val="36"/>
        </w:rPr>
        <w:t>“</w:t>
      </w:r>
      <w:r w:rsidRPr="001172E1">
        <w:rPr>
          <w:rFonts w:ascii="Calibri" w:eastAsia="仿宋_gb2312" w:hAnsi="Calibri" w:cs="Calibri"/>
          <w:kern w:val="0"/>
          <w:sz w:val="36"/>
          <w:szCs w:val="36"/>
        </w:rPr>
        <w:t>易制毒化学品网络管理系统</w:t>
      </w:r>
      <w:r w:rsidRPr="001172E1">
        <w:rPr>
          <w:rFonts w:ascii="仿宋" w:eastAsia="仿宋" w:hAnsi="仿宋" w:cs="宋体" w:hint="eastAsia"/>
          <w:kern w:val="0"/>
          <w:sz w:val="36"/>
          <w:szCs w:val="36"/>
        </w:rPr>
        <w:t>”</w:t>
      </w:r>
      <w:r w:rsidRPr="001172E1">
        <w:rPr>
          <w:rFonts w:ascii="Calibri" w:eastAsia="仿宋_gb2312" w:hAnsi="Calibri" w:cs="Calibri"/>
          <w:kern w:val="0"/>
          <w:sz w:val="36"/>
          <w:szCs w:val="36"/>
        </w:rPr>
        <w:t>，由保卫处负责系统的管理及日常维护，根据审批结果，向获得购买许可的使用单位的易制毒化学品专管人员授予登录权限，具体实施网上购买过程。</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t>第八条</w:t>
      </w:r>
      <w:r w:rsidRPr="001172E1">
        <w:rPr>
          <w:rFonts w:ascii="仿宋_gb2312" w:eastAsia="仿宋_gb2312" w:hAnsi="Calibri" w:cs="Calibri" w:hint="eastAsia"/>
          <w:b/>
          <w:bCs/>
          <w:kern w:val="0"/>
          <w:sz w:val="36"/>
          <w:szCs w:val="36"/>
        </w:rPr>
        <w:t> </w:t>
      </w:r>
      <w:r w:rsidRPr="001172E1">
        <w:rPr>
          <w:rFonts w:ascii="仿宋_gb2312" w:eastAsia="仿宋_gb2312" w:hAnsi="Calibri" w:cs="Calibri" w:hint="eastAsia"/>
          <w:b/>
          <w:bCs/>
          <w:kern w:val="0"/>
          <w:sz w:val="36"/>
          <w:szCs w:val="36"/>
        </w:rPr>
        <w:t xml:space="preserve"> </w:t>
      </w:r>
      <w:r w:rsidRPr="001172E1">
        <w:rPr>
          <w:rFonts w:ascii="仿宋_gb2312" w:eastAsia="仿宋_gb2312" w:hAnsi="宋体" w:cs="宋体" w:hint="eastAsia"/>
          <w:kern w:val="0"/>
          <w:sz w:val="36"/>
          <w:szCs w:val="36"/>
        </w:rPr>
        <w:t>各使用单位的易制毒化学品专管人员应全面掌握易制毒化学品的有关知识，在允许的权限范围内严格按照购买计划的品种及数量进行购买。</w:t>
      </w:r>
    </w:p>
    <w:p w:rsidR="001172E1" w:rsidRPr="001172E1" w:rsidRDefault="001172E1" w:rsidP="001172E1">
      <w:pPr>
        <w:widowControl/>
        <w:shd w:val="clear" w:color="auto" w:fill="FFFFFF"/>
        <w:spacing w:before="100" w:beforeAutospacing="1" w:after="100" w:afterAutospacing="1"/>
        <w:jc w:val="center"/>
        <w:rPr>
          <w:rFonts w:ascii="宋体" w:eastAsia="宋体" w:hAnsi="宋体" w:cs="宋体"/>
          <w:kern w:val="0"/>
          <w:sz w:val="18"/>
          <w:szCs w:val="18"/>
        </w:rPr>
      </w:pPr>
      <w:r w:rsidRPr="001172E1">
        <w:rPr>
          <w:rFonts w:ascii="黑体" w:eastAsia="黑体" w:hAnsi="黑体" w:cs="宋体" w:hint="eastAsia"/>
          <w:kern w:val="0"/>
          <w:sz w:val="36"/>
          <w:szCs w:val="36"/>
        </w:rPr>
        <w:t>第四章 易制毒化学品的领用、贮存管理</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t>第九条</w:t>
      </w:r>
      <w:r w:rsidRPr="001172E1">
        <w:rPr>
          <w:rFonts w:ascii="仿宋_gb2312" w:eastAsia="仿宋_gb2312" w:hAnsi="宋体" w:cs="宋体" w:hint="eastAsia"/>
          <w:kern w:val="0"/>
          <w:sz w:val="36"/>
          <w:szCs w:val="36"/>
        </w:rPr>
        <w:t xml:space="preserve"> 易制毒化学品的使用单位在装运、存放、保管、使用和化学废弃物处置等各个环节，要严格执行双人装运、双人保管、双人领取、双人使用和双人双锁的“双五</w:t>
      </w:r>
      <w:r w:rsidRPr="001172E1">
        <w:rPr>
          <w:rFonts w:ascii="仿宋" w:eastAsia="仿宋" w:hAnsi="仿宋" w:cs="宋体" w:hint="eastAsia"/>
          <w:kern w:val="0"/>
          <w:sz w:val="36"/>
          <w:szCs w:val="36"/>
        </w:rPr>
        <w:t>”</w:t>
      </w:r>
      <w:r w:rsidRPr="001172E1">
        <w:rPr>
          <w:rFonts w:ascii="Calibri" w:eastAsia="仿宋_gb2312" w:hAnsi="Calibri" w:cs="Calibri"/>
          <w:kern w:val="0"/>
          <w:sz w:val="36"/>
          <w:szCs w:val="36"/>
        </w:rPr>
        <w:t>制度。</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lastRenderedPageBreak/>
        <w:t>第十条</w:t>
      </w:r>
      <w:r w:rsidRPr="001172E1">
        <w:rPr>
          <w:rFonts w:ascii="仿宋_gb2312" w:eastAsia="仿宋_gb2312" w:hAnsi="Calibri" w:cs="Calibri" w:hint="eastAsia"/>
          <w:b/>
          <w:bCs/>
          <w:kern w:val="0"/>
          <w:sz w:val="36"/>
          <w:szCs w:val="36"/>
        </w:rPr>
        <w:t> </w:t>
      </w:r>
      <w:r w:rsidRPr="001172E1">
        <w:rPr>
          <w:rFonts w:ascii="仿宋_gb2312" w:eastAsia="仿宋_gb2312" w:hAnsi="Calibri" w:cs="Calibri" w:hint="eastAsia"/>
          <w:b/>
          <w:bCs/>
          <w:kern w:val="0"/>
          <w:sz w:val="36"/>
          <w:szCs w:val="36"/>
        </w:rPr>
        <w:t xml:space="preserve"> </w:t>
      </w:r>
      <w:r w:rsidRPr="001172E1">
        <w:rPr>
          <w:rFonts w:ascii="仿宋_gb2312" w:eastAsia="仿宋_gb2312" w:hAnsi="宋体" w:cs="宋体" w:hint="eastAsia"/>
          <w:kern w:val="0"/>
          <w:sz w:val="36"/>
          <w:szCs w:val="36"/>
        </w:rPr>
        <w:t>易制毒化学品贮存必须有专人负责，并建立详细的易制毒化学品台账。做到日清月结，账物相符。</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Calibri" w:eastAsia="仿宋_gb2312" w:hAnsi="Calibri" w:cs="Calibri"/>
          <w:kern w:val="0"/>
          <w:sz w:val="36"/>
          <w:szCs w:val="36"/>
        </w:rPr>
        <w:t>易制毒化学品必须存放在条件完备的专用仓库、专用场地或专用储存室（柜）内，应当符合有关安全规定，并根据物品的种类、性质，设置相应的通风、防爆、泄压、防火、防雷、报警、灭火、防晒、调湿、消除静电、防护围堤等安全设施。存放区域应设置醒目的安全标志。</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Calibri" w:eastAsia="仿宋_gb2312" w:hAnsi="Calibri" w:cs="Calibri"/>
          <w:kern w:val="0"/>
          <w:sz w:val="36"/>
          <w:szCs w:val="36"/>
        </w:rPr>
        <w:t>不具备贮存条件的单位不得擅自贮存易制毒化学品。如需使用，须通过协商签订代保管合同，由具有贮存条件的部门代为贮存。</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Calibri" w:eastAsia="仿宋_gb2312" w:hAnsi="Calibri" w:cs="Calibri"/>
          <w:kern w:val="0"/>
          <w:sz w:val="36"/>
          <w:szCs w:val="36"/>
        </w:rPr>
        <w:t>任何单位和个人不得私自为其他单位和个人提供易制毒化学品的储存服务。</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t>第十一条</w:t>
      </w:r>
      <w:r w:rsidRPr="001172E1">
        <w:rPr>
          <w:rFonts w:ascii="宋体" w:eastAsia="宋体" w:hAnsi="宋体" w:cs="宋体"/>
          <w:kern w:val="0"/>
          <w:sz w:val="36"/>
          <w:szCs w:val="36"/>
        </w:rPr>
        <w:t xml:space="preserve">  </w:t>
      </w:r>
      <w:r w:rsidRPr="001172E1">
        <w:rPr>
          <w:rFonts w:ascii="仿宋_gb2312" w:eastAsia="仿宋_gb2312" w:hAnsi="宋体" w:cs="宋体" w:hint="eastAsia"/>
          <w:kern w:val="0"/>
          <w:sz w:val="36"/>
          <w:szCs w:val="36"/>
        </w:rPr>
        <w:t>对易制毒化学品的领取与使用必须通过使用单位主管领导审批签字，并对所用易制毒化学品的品名、剂量、用途、使用日期、排放方式和使用情况等进行详细登记，并定期报备保卫处。</w:t>
      </w:r>
    </w:p>
    <w:p w:rsidR="001172E1" w:rsidRPr="001172E1" w:rsidRDefault="001172E1" w:rsidP="001172E1">
      <w:pPr>
        <w:widowControl/>
        <w:shd w:val="clear" w:color="auto" w:fill="FFFFFF"/>
        <w:spacing w:before="100" w:beforeAutospacing="1" w:after="100" w:afterAutospacing="1"/>
        <w:jc w:val="center"/>
        <w:rPr>
          <w:rFonts w:ascii="宋体" w:eastAsia="宋体" w:hAnsi="宋体" w:cs="宋体"/>
          <w:kern w:val="0"/>
          <w:sz w:val="18"/>
          <w:szCs w:val="18"/>
        </w:rPr>
      </w:pPr>
      <w:r w:rsidRPr="001172E1">
        <w:rPr>
          <w:rFonts w:ascii="黑体" w:eastAsia="黑体" w:hAnsi="黑体" w:cs="宋体" w:hint="eastAsia"/>
          <w:kern w:val="0"/>
          <w:sz w:val="36"/>
          <w:szCs w:val="36"/>
        </w:rPr>
        <w:t>第五章 易制毒化学品废弃物的处置管理</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lastRenderedPageBreak/>
        <w:t>第十二条</w:t>
      </w:r>
      <w:r w:rsidRPr="001172E1">
        <w:rPr>
          <w:rFonts w:ascii="仿宋_gb2312" w:eastAsia="仿宋_gb2312" w:hAnsi="Calibri" w:cs="Calibri" w:hint="eastAsia"/>
          <w:b/>
          <w:bCs/>
          <w:kern w:val="0"/>
          <w:sz w:val="36"/>
          <w:szCs w:val="36"/>
        </w:rPr>
        <w:t> </w:t>
      </w:r>
      <w:r w:rsidRPr="001172E1">
        <w:rPr>
          <w:rFonts w:ascii="仿宋_gb2312" w:eastAsia="仿宋_gb2312" w:hAnsi="Calibri" w:cs="Calibri" w:hint="eastAsia"/>
          <w:b/>
          <w:bCs/>
          <w:kern w:val="0"/>
          <w:sz w:val="36"/>
          <w:szCs w:val="36"/>
        </w:rPr>
        <w:t xml:space="preserve"> </w:t>
      </w:r>
      <w:r w:rsidRPr="001172E1">
        <w:rPr>
          <w:rFonts w:ascii="仿宋_gb2312" w:eastAsia="仿宋_gb2312" w:hAnsi="宋体" w:cs="宋体" w:hint="eastAsia"/>
          <w:kern w:val="0"/>
          <w:sz w:val="36"/>
          <w:szCs w:val="36"/>
        </w:rPr>
        <w:t>处理每次使用后废弃的少量剩余的易制毒化学品，必须由学院统一登记后储存，报学校后勤管理处（环境保护管理办公室）备案，定期按国家有关规定进行妥善处理。</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t>第十三条</w:t>
      </w:r>
      <w:r w:rsidRPr="001172E1">
        <w:rPr>
          <w:rFonts w:ascii="仿宋_gb2312" w:eastAsia="仿宋_gb2312" w:hAnsi="Calibri" w:cs="Calibri" w:hint="eastAsia"/>
          <w:b/>
          <w:bCs/>
          <w:kern w:val="0"/>
          <w:sz w:val="36"/>
          <w:szCs w:val="36"/>
        </w:rPr>
        <w:t> </w:t>
      </w:r>
      <w:r w:rsidRPr="001172E1">
        <w:rPr>
          <w:rFonts w:ascii="仿宋_gb2312" w:eastAsia="仿宋_gb2312" w:hAnsi="Calibri" w:cs="Calibri" w:hint="eastAsia"/>
          <w:b/>
          <w:bCs/>
          <w:kern w:val="0"/>
          <w:sz w:val="36"/>
          <w:szCs w:val="36"/>
        </w:rPr>
        <w:t xml:space="preserve"> </w:t>
      </w:r>
      <w:r w:rsidRPr="001172E1">
        <w:rPr>
          <w:rFonts w:ascii="仿宋_gb2312" w:eastAsia="仿宋_gb2312" w:hAnsi="宋体" w:cs="宋体" w:hint="eastAsia"/>
          <w:kern w:val="0"/>
          <w:sz w:val="36"/>
          <w:szCs w:val="36"/>
        </w:rPr>
        <w:t>对需要集中销毁大剂量的或存放过期、失效变质的易制毒化学品，必须经使用单位向学校后勤管理处（环境保护管理办公室）提出书面申请，报政府环保权威机构批复后，按国家有关规定进行处置。</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t>第十四条</w:t>
      </w:r>
      <w:r w:rsidRPr="001172E1">
        <w:rPr>
          <w:rFonts w:ascii="仿宋_gb2312" w:eastAsia="仿宋_gb2312" w:hAnsi="Calibri" w:cs="Calibri" w:hint="eastAsia"/>
          <w:b/>
          <w:bCs/>
          <w:kern w:val="0"/>
          <w:sz w:val="36"/>
          <w:szCs w:val="36"/>
        </w:rPr>
        <w:t> </w:t>
      </w:r>
      <w:r w:rsidRPr="001172E1">
        <w:rPr>
          <w:rFonts w:ascii="仿宋_gb2312" w:eastAsia="仿宋_gb2312" w:hAnsi="Calibri" w:cs="Calibri" w:hint="eastAsia"/>
          <w:b/>
          <w:bCs/>
          <w:kern w:val="0"/>
          <w:sz w:val="36"/>
          <w:szCs w:val="36"/>
        </w:rPr>
        <w:t xml:space="preserve"> </w:t>
      </w:r>
      <w:r w:rsidRPr="001172E1">
        <w:rPr>
          <w:rFonts w:ascii="仿宋_gb2312" w:eastAsia="仿宋_gb2312" w:hAnsi="宋体" w:cs="宋体" w:hint="eastAsia"/>
          <w:kern w:val="0"/>
          <w:sz w:val="36"/>
          <w:szCs w:val="36"/>
        </w:rPr>
        <w:t>任何单位和个人不得以任何理由擅自丢弃或掩埋任何易制毒化学品。</w:t>
      </w:r>
    </w:p>
    <w:p w:rsidR="001172E1" w:rsidRPr="001172E1" w:rsidRDefault="001172E1" w:rsidP="001172E1">
      <w:pPr>
        <w:widowControl/>
        <w:shd w:val="clear" w:color="auto" w:fill="FFFFFF"/>
        <w:spacing w:before="100" w:beforeAutospacing="1" w:after="100" w:afterAutospacing="1"/>
        <w:jc w:val="center"/>
        <w:rPr>
          <w:rFonts w:ascii="宋体" w:eastAsia="宋体" w:hAnsi="宋体" w:cs="宋体"/>
          <w:kern w:val="0"/>
          <w:sz w:val="18"/>
          <w:szCs w:val="18"/>
        </w:rPr>
      </w:pPr>
      <w:r w:rsidRPr="001172E1">
        <w:rPr>
          <w:rFonts w:ascii="黑体" w:eastAsia="黑体" w:hAnsi="黑体" w:cs="宋体" w:hint="eastAsia"/>
          <w:kern w:val="0"/>
          <w:sz w:val="36"/>
          <w:szCs w:val="36"/>
        </w:rPr>
        <w:t>第六章 附则</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t>第十五条</w:t>
      </w:r>
      <w:r w:rsidRPr="001172E1">
        <w:rPr>
          <w:rFonts w:ascii="仿宋_gb2312" w:eastAsia="仿宋_gb2312" w:hAnsi="Calibri" w:cs="Calibri" w:hint="eastAsia"/>
          <w:b/>
          <w:bCs/>
          <w:kern w:val="0"/>
          <w:sz w:val="36"/>
          <w:szCs w:val="36"/>
        </w:rPr>
        <w:t> </w:t>
      </w:r>
      <w:r w:rsidRPr="001172E1">
        <w:rPr>
          <w:rFonts w:ascii="仿宋_gb2312" w:eastAsia="仿宋_gb2312" w:hAnsi="Calibri" w:cs="Calibri" w:hint="eastAsia"/>
          <w:b/>
          <w:bCs/>
          <w:kern w:val="0"/>
          <w:sz w:val="36"/>
          <w:szCs w:val="36"/>
        </w:rPr>
        <w:t xml:space="preserve"> </w:t>
      </w:r>
      <w:r w:rsidRPr="001172E1">
        <w:rPr>
          <w:rFonts w:ascii="仿宋_gb2312" w:eastAsia="仿宋_gb2312" w:hAnsi="宋体" w:cs="宋体" w:hint="eastAsia"/>
          <w:kern w:val="0"/>
          <w:sz w:val="36"/>
          <w:szCs w:val="36"/>
        </w:rPr>
        <w:t>对在易制毒化学品的采购、储存、使用和处置过程中违反有关规定，出现事故，由该易制毒化学品使用单位自行承担；任何单位或个人不按规定私自购买、留存、使用和处置易制毒化学品的，由学校参照《国务院易制毒化学品管理条例》相关规定，视情节轻重对责任人给予处罚，构成犯罪的由司法机关追究其刑事责任。</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t>第十六条</w:t>
      </w:r>
      <w:r w:rsidRPr="001172E1">
        <w:rPr>
          <w:rFonts w:ascii="仿宋_gb2312" w:eastAsia="仿宋_gb2312" w:hAnsi="Calibri" w:cs="Calibri" w:hint="eastAsia"/>
          <w:b/>
          <w:bCs/>
          <w:kern w:val="0"/>
          <w:sz w:val="36"/>
          <w:szCs w:val="36"/>
        </w:rPr>
        <w:t> </w:t>
      </w:r>
      <w:r w:rsidRPr="001172E1">
        <w:rPr>
          <w:rFonts w:ascii="仿宋_gb2312" w:eastAsia="仿宋_gb2312" w:hAnsi="Calibri" w:cs="Calibri" w:hint="eastAsia"/>
          <w:b/>
          <w:bCs/>
          <w:kern w:val="0"/>
          <w:sz w:val="36"/>
          <w:szCs w:val="36"/>
        </w:rPr>
        <w:t xml:space="preserve"> </w:t>
      </w:r>
      <w:r w:rsidRPr="001172E1">
        <w:rPr>
          <w:rFonts w:ascii="仿宋_gb2312" w:eastAsia="仿宋_gb2312" w:hAnsi="宋体" w:cs="宋体" w:hint="eastAsia"/>
          <w:kern w:val="0"/>
          <w:sz w:val="36"/>
          <w:szCs w:val="36"/>
        </w:rPr>
        <w:t>本规定由学校保卫处（安全生产办公室）负责解释，自发布之日起施行。</w:t>
      </w:r>
    </w:p>
    <w:p w:rsidR="001172E1" w:rsidRPr="001172E1" w:rsidRDefault="001172E1" w:rsidP="001172E1">
      <w:pPr>
        <w:widowControl/>
        <w:shd w:val="clear" w:color="auto" w:fill="FFFFFF"/>
        <w:spacing w:before="100" w:beforeAutospacing="1" w:after="100" w:afterAutospacing="1"/>
        <w:jc w:val="left"/>
        <w:rPr>
          <w:rFonts w:ascii="宋体" w:eastAsia="宋体" w:hAnsi="宋体" w:cs="宋体"/>
          <w:kern w:val="0"/>
          <w:sz w:val="18"/>
          <w:szCs w:val="18"/>
        </w:rPr>
      </w:pPr>
      <w:r w:rsidRPr="001172E1">
        <w:rPr>
          <w:rFonts w:ascii="仿宋_gb2312" w:eastAsia="仿宋_gb2312" w:hAnsi="Calibri" w:cs="Calibri" w:hint="eastAsia"/>
          <w:b/>
          <w:bCs/>
          <w:kern w:val="0"/>
          <w:sz w:val="36"/>
          <w:szCs w:val="36"/>
        </w:rPr>
        <w:lastRenderedPageBreak/>
        <w:t>第十七条</w:t>
      </w:r>
      <w:r w:rsidRPr="001172E1">
        <w:rPr>
          <w:rFonts w:ascii="仿宋_gb2312" w:eastAsia="仿宋_gb2312" w:hAnsi="Calibri" w:cs="Calibri" w:hint="eastAsia"/>
          <w:b/>
          <w:bCs/>
          <w:kern w:val="0"/>
          <w:sz w:val="36"/>
          <w:szCs w:val="36"/>
        </w:rPr>
        <w:t> </w:t>
      </w:r>
      <w:r w:rsidRPr="001172E1">
        <w:rPr>
          <w:rFonts w:ascii="仿宋_gb2312" w:eastAsia="仿宋_gb2312" w:hAnsi="Calibri" w:cs="Calibri" w:hint="eastAsia"/>
          <w:b/>
          <w:bCs/>
          <w:kern w:val="0"/>
          <w:sz w:val="36"/>
          <w:szCs w:val="36"/>
        </w:rPr>
        <w:t xml:space="preserve"> </w:t>
      </w:r>
      <w:r w:rsidRPr="001172E1">
        <w:rPr>
          <w:rFonts w:ascii="仿宋_gb2312" w:eastAsia="仿宋_gb2312" w:hAnsi="宋体" w:cs="宋体" w:hint="eastAsia"/>
          <w:kern w:val="0"/>
          <w:sz w:val="36"/>
          <w:szCs w:val="36"/>
        </w:rPr>
        <w:t>如与国家法律法规不一致的以国家法律法规为准。本规定中未提及或未说明的其它易制毒化学品管理内容依照国家、北京市及学校的有关规定执行。</w:t>
      </w:r>
    </w:p>
    <w:p w:rsidR="00EB281C" w:rsidRPr="001172E1" w:rsidRDefault="00EB281C"/>
    <w:sectPr w:rsidR="00EB281C" w:rsidRPr="001172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2E1"/>
    <w:rsid w:val="001172E1"/>
    <w:rsid w:val="00673DEB"/>
    <w:rsid w:val="00EB28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50034-E119-4CC0-BAFF-5CBCE11F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172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72E1"/>
    <w:rPr>
      <w:rFonts w:ascii="宋体" w:eastAsia="宋体" w:hAnsi="宋体" w:cs="宋体"/>
      <w:b/>
      <w:bCs/>
      <w:kern w:val="36"/>
      <w:sz w:val="48"/>
      <w:szCs w:val="48"/>
    </w:rPr>
  </w:style>
  <w:style w:type="paragraph" w:styleId="a3">
    <w:name w:val="Normal (Web)"/>
    <w:basedOn w:val="a"/>
    <w:uiPriority w:val="99"/>
    <w:semiHidden/>
    <w:unhideWhenUsed/>
    <w:rsid w:val="001172E1"/>
    <w:pPr>
      <w:widowControl/>
      <w:spacing w:before="100" w:beforeAutospacing="1" w:after="100" w:afterAutospacing="1"/>
      <w:jc w:val="left"/>
    </w:pPr>
    <w:rPr>
      <w:rFonts w:ascii="宋体" w:eastAsia="宋体" w:hAnsi="宋体" w:cs="宋体"/>
      <w:kern w:val="0"/>
      <w:sz w:val="24"/>
      <w:szCs w:val="24"/>
    </w:rPr>
  </w:style>
  <w:style w:type="character" w:customStyle="1" w:styleId="cinfolbl">
    <w:name w:val="c_info_lbl"/>
    <w:basedOn w:val="a0"/>
    <w:rsid w:val="001172E1"/>
  </w:style>
  <w:style w:type="character" w:customStyle="1" w:styleId="cinfoname">
    <w:name w:val="c_info_name"/>
    <w:basedOn w:val="a0"/>
    <w:rsid w:val="001172E1"/>
  </w:style>
  <w:style w:type="character" w:styleId="a4">
    <w:name w:val="Strong"/>
    <w:basedOn w:val="a0"/>
    <w:uiPriority w:val="22"/>
    <w:qFormat/>
    <w:rsid w:val="00117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782169">
      <w:bodyDiv w:val="1"/>
      <w:marLeft w:val="0"/>
      <w:marRight w:val="0"/>
      <w:marTop w:val="0"/>
      <w:marBottom w:val="0"/>
      <w:divBdr>
        <w:top w:val="none" w:sz="0" w:space="0" w:color="auto"/>
        <w:left w:val="none" w:sz="0" w:space="0" w:color="auto"/>
        <w:bottom w:val="none" w:sz="0" w:space="0" w:color="auto"/>
        <w:right w:val="none" w:sz="0" w:space="0" w:color="auto"/>
      </w:divBdr>
      <w:divsChild>
        <w:div w:id="625742691">
          <w:marLeft w:val="0"/>
          <w:marRight w:val="0"/>
          <w:marTop w:val="0"/>
          <w:marBottom w:val="0"/>
          <w:divBdr>
            <w:top w:val="none" w:sz="0" w:space="0" w:color="auto"/>
            <w:left w:val="none" w:sz="0" w:space="0" w:color="auto"/>
            <w:bottom w:val="none" w:sz="0" w:space="0" w:color="auto"/>
            <w:right w:val="none" w:sz="0" w:space="0" w:color="auto"/>
          </w:divBdr>
          <w:divsChild>
            <w:div w:id="1979262049">
              <w:marLeft w:val="0"/>
              <w:marRight w:val="0"/>
              <w:marTop w:val="0"/>
              <w:marBottom w:val="150"/>
              <w:divBdr>
                <w:top w:val="none" w:sz="0" w:space="0" w:color="auto"/>
                <w:left w:val="none" w:sz="0" w:space="0" w:color="auto"/>
                <w:bottom w:val="none" w:sz="0" w:space="0" w:color="auto"/>
                <w:right w:val="none" w:sz="0" w:space="0" w:color="auto"/>
              </w:divBdr>
              <w:divsChild>
                <w:div w:id="1183394832">
                  <w:marLeft w:val="0"/>
                  <w:marRight w:val="0"/>
                  <w:marTop w:val="0"/>
                  <w:marBottom w:val="0"/>
                  <w:divBdr>
                    <w:top w:val="single" w:sz="6" w:space="0" w:color="A3D0F7"/>
                    <w:left w:val="single" w:sz="6" w:space="0" w:color="A3D0F7"/>
                    <w:bottom w:val="single" w:sz="6" w:space="0" w:color="A3D0F7"/>
                    <w:right w:val="single" w:sz="6" w:space="0" w:color="A3D0F7"/>
                  </w:divBdr>
                  <w:divsChild>
                    <w:div w:id="1958216919">
                      <w:marLeft w:val="0"/>
                      <w:marRight w:val="0"/>
                      <w:marTop w:val="0"/>
                      <w:marBottom w:val="0"/>
                      <w:divBdr>
                        <w:top w:val="single" w:sz="6" w:space="0" w:color="FFFFFF"/>
                        <w:left w:val="single" w:sz="6" w:space="0" w:color="FFFFFF"/>
                        <w:bottom w:val="single" w:sz="6" w:space="0" w:color="FFFFFF"/>
                        <w:right w:val="single" w:sz="6" w:space="0" w:color="FFFFFF"/>
                      </w:divBdr>
                      <w:divsChild>
                        <w:div w:id="1378580344">
                          <w:marLeft w:val="0"/>
                          <w:marRight w:val="0"/>
                          <w:marTop w:val="0"/>
                          <w:marBottom w:val="0"/>
                          <w:divBdr>
                            <w:top w:val="none" w:sz="0" w:space="0" w:color="auto"/>
                            <w:left w:val="none" w:sz="0" w:space="0" w:color="auto"/>
                            <w:bottom w:val="none" w:sz="0" w:space="0" w:color="auto"/>
                            <w:right w:val="none" w:sz="0" w:space="0" w:color="auto"/>
                          </w:divBdr>
                          <w:divsChild>
                            <w:div w:id="812597101">
                              <w:marLeft w:val="0"/>
                              <w:marRight w:val="0"/>
                              <w:marTop w:val="0"/>
                              <w:marBottom w:val="0"/>
                              <w:divBdr>
                                <w:top w:val="none" w:sz="0" w:space="0" w:color="auto"/>
                                <w:left w:val="none" w:sz="0" w:space="0" w:color="auto"/>
                                <w:bottom w:val="none" w:sz="0" w:space="0" w:color="auto"/>
                                <w:right w:val="none" w:sz="0" w:space="0" w:color="auto"/>
                              </w:divBdr>
                              <w:divsChild>
                                <w:div w:id="1324745950">
                                  <w:marLeft w:val="0"/>
                                  <w:marRight w:val="0"/>
                                  <w:marTop w:val="0"/>
                                  <w:marBottom w:val="0"/>
                                  <w:divBdr>
                                    <w:top w:val="none" w:sz="0" w:space="0" w:color="auto"/>
                                    <w:left w:val="none" w:sz="0" w:space="0" w:color="auto"/>
                                    <w:bottom w:val="none" w:sz="0" w:space="0" w:color="auto"/>
                                    <w:right w:val="none" w:sz="0" w:space="0" w:color="auto"/>
                                  </w:divBdr>
                                  <w:divsChild>
                                    <w:div w:id="1444806791">
                                      <w:marLeft w:val="0"/>
                                      <w:marRight w:val="0"/>
                                      <w:marTop w:val="0"/>
                                      <w:marBottom w:val="0"/>
                                      <w:divBdr>
                                        <w:top w:val="none" w:sz="0" w:space="0" w:color="auto"/>
                                        <w:left w:val="none" w:sz="0" w:space="0" w:color="auto"/>
                                        <w:bottom w:val="none" w:sz="0" w:space="0" w:color="auto"/>
                                        <w:right w:val="none" w:sz="0" w:space="0" w:color="auto"/>
                                      </w:divBdr>
                                      <w:divsChild>
                                        <w:div w:id="596595788">
                                          <w:marLeft w:val="0"/>
                                          <w:marRight w:val="0"/>
                                          <w:marTop w:val="0"/>
                                          <w:marBottom w:val="0"/>
                                          <w:divBdr>
                                            <w:top w:val="none" w:sz="0" w:space="0" w:color="auto"/>
                                            <w:left w:val="none" w:sz="0" w:space="0" w:color="auto"/>
                                            <w:bottom w:val="none" w:sz="0" w:space="0" w:color="auto"/>
                                            <w:right w:val="none" w:sz="0" w:space="0" w:color="auto"/>
                                          </w:divBdr>
                                        </w:div>
                                        <w:div w:id="2010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cathy</cp:lastModifiedBy>
  <cp:revision>2</cp:revision>
  <dcterms:created xsi:type="dcterms:W3CDTF">2018-04-14T06:21:00Z</dcterms:created>
  <dcterms:modified xsi:type="dcterms:W3CDTF">2018-04-14T06:23:00Z</dcterms:modified>
</cp:coreProperties>
</file>