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E1" w:rsidRPr="001172E1" w:rsidRDefault="001172E1" w:rsidP="001172E1">
      <w:pPr>
        <w:widowControl/>
        <w:shd w:val="clear" w:color="auto" w:fill="FFFFFF"/>
        <w:spacing w:before="100" w:beforeAutospacing="1" w:after="100" w:afterAutospacing="1"/>
        <w:jc w:val="left"/>
        <w:outlineLvl w:val="0"/>
        <w:rPr>
          <w:rFonts w:ascii="宋体" w:eastAsia="宋体" w:hAnsi="宋体" w:cs="宋体"/>
          <w:b/>
          <w:bCs/>
          <w:kern w:val="36"/>
          <w:sz w:val="48"/>
          <w:szCs w:val="48"/>
        </w:rPr>
      </w:pPr>
      <w:r w:rsidRPr="001172E1">
        <w:rPr>
          <w:rFonts w:ascii="宋体" w:eastAsia="宋体" w:hAnsi="宋体" w:cs="宋体"/>
          <w:b/>
          <w:bCs/>
          <w:kern w:val="36"/>
          <w:sz w:val="48"/>
          <w:szCs w:val="48"/>
        </w:rPr>
        <w:t>北京交通大学易制毒化学品管理办法</w:t>
      </w:r>
    </w:p>
    <w:p w:rsidR="001172E1" w:rsidRPr="001172E1" w:rsidRDefault="001172E1" w:rsidP="001172E1">
      <w:pPr>
        <w:widowControl/>
        <w:shd w:val="clear" w:color="auto" w:fill="FFFFFF"/>
        <w:jc w:val="left"/>
        <w:rPr>
          <w:rFonts w:ascii="宋体" w:eastAsia="宋体" w:hAnsi="宋体" w:cs="宋体"/>
          <w:kern w:val="0"/>
          <w:sz w:val="18"/>
          <w:szCs w:val="18"/>
        </w:rPr>
      </w:pPr>
      <w:r w:rsidRPr="001172E1">
        <w:rPr>
          <w:rFonts w:ascii="宋体" w:eastAsia="宋体" w:hAnsi="宋体" w:cs="宋体"/>
          <w:kern w:val="0"/>
          <w:sz w:val="18"/>
          <w:szCs w:val="18"/>
        </w:rPr>
        <w:t xml:space="preserve">作者: 发布时间:2016-07-19 </w:t>
      </w:r>
    </w:p>
    <w:p w:rsidR="001172E1" w:rsidRPr="001172E1" w:rsidRDefault="001172E1" w:rsidP="001172E1">
      <w:pPr>
        <w:widowControl/>
        <w:shd w:val="clear" w:color="auto" w:fill="FFFFFF"/>
        <w:spacing w:before="100" w:beforeAutospacing="1" w:after="100" w:afterAutospacing="1"/>
        <w:jc w:val="center"/>
        <w:rPr>
          <w:rFonts w:ascii="宋体" w:eastAsia="宋体" w:hAnsi="宋体" w:cs="宋体"/>
          <w:kern w:val="0"/>
          <w:sz w:val="18"/>
          <w:szCs w:val="18"/>
        </w:rPr>
      </w:pPr>
      <w:r w:rsidRPr="001172E1">
        <w:rPr>
          <w:rFonts w:ascii="黑体" w:eastAsia="黑体" w:hAnsi="黑体" w:cs="宋体" w:hint="eastAsia"/>
          <w:kern w:val="0"/>
          <w:sz w:val="36"/>
          <w:szCs w:val="36"/>
        </w:rPr>
        <w:t>第一章</w:t>
      </w:r>
      <w:r w:rsidRPr="001172E1">
        <w:rPr>
          <w:rFonts w:ascii="Calibri" w:eastAsia="黑体" w:hAnsi="Calibri" w:cs="Calibri"/>
          <w:kern w:val="0"/>
          <w:sz w:val="36"/>
          <w:szCs w:val="36"/>
        </w:rPr>
        <w:t> </w:t>
      </w:r>
      <w:r w:rsidRPr="001172E1">
        <w:rPr>
          <w:rFonts w:ascii="黑体" w:eastAsia="黑体" w:hAnsi="黑体" w:cs="宋体" w:hint="eastAsia"/>
          <w:kern w:val="0"/>
          <w:sz w:val="36"/>
          <w:szCs w:val="36"/>
        </w:rPr>
        <w:t xml:space="preserve"> 总则</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第一条</w:t>
      </w:r>
      <w:r w:rsidRPr="001172E1">
        <w:rPr>
          <w:rFonts w:ascii="宋体" w:eastAsia="宋体" w:hAnsi="宋体" w:cs="宋体"/>
          <w:kern w:val="0"/>
          <w:sz w:val="36"/>
          <w:szCs w:val="36"/>
        </w:rPr>
        <w:t xml:space="preserve">  </w:t>
      </w:r>
      <w:r w:rsidRPr="001172E1">
        <w:rPr>
          <w:rFonts w:ascii="仿宋_gb2312" w:eastAsia="仿宋_gb2312" w:hAnsi="宋体" w:cs="宋体" w:hint="eastAsia"/>
          <w:kern w:val="0"/>
          <w:sz w:val="36"/>
          <w:szCs w:val="36"/>
        </w:rPr>
        <w:t>为进一步加强对易制毒化学品的管理，明确学校相关职能部门对易制毒化学品的管理职责，规范各使用单位易制毒化学品的购买行为，严防易制毒化学品被用于制造毒品等意外事故的发生，根据中华人民共和国《易制毒化学品管理条例》（国务院令第445</w:t>
      </w:r>
      <w:r w:rsidRPr="001172E1">
        <w:rPr>
          <w:rFonts w:ascii="宋体" w:eastAsia="宋体" w:hAnsi="宋体" w:cs="宋体"/>
          <w:kern w:val="0"/>
          <w:sz w:val="36"/>
          <w:szCs w:val="36"/>
        </w:rPr>
        <w:t>号）、《易制毒化学品购销和运输管理办法》（公安部令第87</w:t>
      </w:r>
      <w:r w:rsidRPr="001172E1">
        <w:rPr>
          <w:rFonts w:ascii="宋体" w:eastAsia="宋体" w:hAnsi="宋体" w:cs="宋体"/>
          <w:kern w:val="0"/>
          <w:sz w:val="18"/>
          <w:szCs w:val="18"/>
        </w:rPr>
        <w:t>号）的相关规定，结合学校实际情况，特制定本管理办法。</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第二条</w:t>
      </w:r>
      <w:r w:rsidRPr="001172E1">
        <w:rPr>
          <w:rFonts w:ascii="宋体" w:eastAsia="宋体" w:hAnsi="宋体" w:cs="宋体"/>
          <w:kern w:val="0"/>
          <w:sz w:val="36"/>
          <w:szCs w:val="36"/>
        </w:rPr>
        <w:t xml:space="preserve">  </w:t>
      </w:r>
      <w:r w:rsidRPr="001172E1">
        <w:rPr>
          <w:rFonts w:ascii="仿宋_gb2312" w:eastAsia="仿宋_gb2312" w:hAnsi="宋体" w:cs="宋体" w:hint="eastAsia"/>
          <w:kern w:val="0"/>
          <w:sz w:val="36"/>
          <w:szCs w:val="36"/>
        </w:rPr>
        <w:t>易制毒化学品是指国家规定管制的可用于制造毒品的化学品。易制毒化学品分为三类。第一类是可以用于制毒的主要原料，第二类、第三类是可以用于制毒的化学配剂。具体分类和品种见国家《易制毒化学品的分类和品种目录》。</w:t>
      </w:r>
    </w:p>
    <w:p w:rsidR="001172E1" w:rsidRPr="001172E1" w:rsidRDefault="001172E1" w:rsidP="001172E1">
      <w:pPr>
        <w:widowControl/>
        <w:shd w:val="clear" w:color="auto" w:fill="FFFFFF"/>
        <w:spacing w:before="100" w:beforeAutospacing="1" w:after="100" w:afterAutospacing="1"/>
        <w:jc w:val="center"/>
        <w:rPr>
          <w:rFonts w:ascii="宋体" w:eastAsia="宋体" w:hAnsi="宋体" w:cs="宋体"/>
          <w:kern w:val="0"/>
          <w:sz w:val="18"/>
          <w:szCs w:val="18"/>
        </w:rPr>
      </w:pPr>
      <w:r w:rsidRPr="001172E1">
        <w:rPr>
          <w:rFonts w:ascii="黑体" w:eastAsia="黑体" w:hAnsi="黑体" w:cs="宋体" w:hint="eastAsia"/>
          <w:kern w:val="0"/>
          <w:sz w:val="36"/>
          <w:szCs w:val="36"/>
        </w:rPr>
        <w:t>第二章 易制毒化学品的机构管理</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第三条</w:t>
      </w:r>
      <w:r w:rsidRPr="001172E1">
        <w:rPr>
          <w:rFonts w:ascii="宋体" w:eastAsia="宋体" w:hAnsi="宋体" w:cs="宋体"/>
          <w:kern w:val="0"/>
          <w:sz w:val="36"/>
          <w:szCs w:val="36"/>
        </w:rPr>
        <w:t xml:space="preserve">  </w:t>
      </w:r>
      <w:r w:rsidRPr="001172E1">
        <w:rPr>
          <w:rFonts w:ascii="仿宋_gb2312" w:eastAsia="仿宋_gb2312" w:hAnsi="宋体" w:cs="宋体" w:hint="eastAsia"/>
          <w:kern w:val="0"/>
          <w:sz w:val="36"/>
          <w:szCs w:val="36"/>
        </w:rPr>
        <w:t>学校保卫处（安全生产办公室）作为学校易制毒化学品的主管部门，负责全校易制毒化学品的计划、采购、储存、使用、废弃物处置等过程的监</w:t>
      </w:r>
      <w:r w:rsidRPr="001172E1">
        <w:rPr>
          <w:rFonts w:ascii="仿宋_gb2312" w:eastAsia="仿宋_gb2312" w:hAnsi="宋体" w:cs="宋体" w:hint="eastAsia"/>
          <w:kern w:val="0"/>
          <w:sz w:val="36"/>
          <w:szCs w:val="36"/>
        </w:rPr>
        <w:lastRenderedPageBreak/>
        <w:t>管，具体负责办理易制毒化学品的公安登记备案，并与公安机关协调相关工作。</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后勤管理处（环境保护办公室）具体负责易制毒化学废弃物处置的监督与管理，做好各使用单位与专业环保回收企业的相关协调工作。</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教务处、研究生院、科技处及后勤集团分别对口负责用于教学、科研及其它方面的易制毒化学品的采购计划审批，并对在教学、科研及其它用途中易制毒化学品的使用情况进行监督与管理。</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实验室及设备管理处负责对实验室易制毒化学品的储存、使用和废弃物处置进行监管。</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财务处具体负责各使用单位易制毒化学品采购及化学废弃物处置经费的核准、报销。</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第四条</w:t>
      </w:r>
      <w:r w:rsidRPr="001172E1">
        <w:rPr>
          <w:rFonts w:ascii="宋体" w:eastAsia="宋体" w:hAnsi="宋体" w:cs="宋体"/>
          <w:kern w:val="0"/>
          <w:sz w:val="36"/>
          <w:szCs w:val="36"/>
        </w:rPr>
        <w:t xml:space="preserve">  </w:t>
      </w:r>
      <w:r w:rsidRPr="001172E1">
        <w:rPr>
          <w:rFonts w:ascii="仿宋_gb2312" w:eastAsia="仿宋_gb2312" w:hAnsi="宋体" w:cs="宋体" w:hint="eastAsia"/>
          <w:kern w:val="0"/>
          <w:sz w:val="36"/>
          <w:szCs w:val="36"/>
        </w:rPr>
        <w:t>涉及易制毒化学品的各使用单位，须建立本单位内部的易制毒化学品管理制度，并在各自的职责范围内，负责本单位易制毒化学品计划、采购、储存、使用及废弃物处置等工作的具体实施与管理。</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lastRenderedPageBreak/>
        <w:t>单位的总负责人是本单位易制毒化学品管理的第一责任人，对本单位的易制毒化学品的计划、采购、使用、储存及废弃物处置等工作负总责。</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单位的主管领导应协助第一责任人落实各项易制毒化学品法律法规、标准，统筹协调、综合管理，对本单位易制毒化学品工作负领导责任。</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使用单位易制毒化学品的专管人员应协助单位主管领导承担日常易制毒化学品管理工作，对单位易制毒化学品工作负直接管理责任。</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单位易制毒化学品的保管人员、领用人员和使用人员分别对其保管、发放、领用和使用的易制毒化学品负有直接责任。</w:t>
      </w:r>
    </w:p>
    <w:p w:rsidR="001172E1" w:rsidRPr="001172E1" w:rsidRDefault="001172E1" w:rsidP="001172E1">
      <w:pPr>
        <w:widowControl/>
        <w:shd w:val="clear" w:color="auto" w:fill="FFFFFF"/>
        <w:spacing w:before="100" w:beforeAutospacing="1" w:after="100" w:afterAutospacing="1"/>
        <w:jc w:val="center"/>
        <w:rPr>
          <w:rFonts w:ascii="宋体" w:eastAsia="宋体" w:hAnsi="宋体" w:cs="宋体"/>
          <w:kern w:val="0"/>
          <w:sz w:val="18"/>
          <w:szCs w:val="18"/>
        </w:rPr>
      </w:pPr>
      <w:r w:rsidRPr="001172E1">
        <w:rPr>
          <w:rFonts w:ascii="黑体" w:eastAsia="黑体" w:hAnsi="黑体" w:cs="宋体" w:hint="eastAsia"/>
          <w:kern w:val="0"/>
          <w:sz w:val="36"/>
          <w:szCs w:val="36"/>
        </w:rPr>
        <w:t>第三章 易制毒化学品的购买管理</w:t>
      </w:r>
    </w:p>
    <w:p w:rsidR="001172E1" w:rsidRPr="001172E1" w:rsidRDefault="001172E1" w:rsidP="001172E1">
      <w:pPr>
        <w:widowControl/>
        <w:shd w:val="clear" w:color="auto" w:fill="FFFFFF"/>
        <w:spacing w:before="100" w:beforeAutospacing="1" w:after="100" w:afterAutospacing="1"/>
        <w:jc w:val="left"/>
        <w:rPr>
          <w:rFonts w:ascii="仿宋_gb2312" w:eastAsia="仿宋_gb2312" w:hAnsi="宋体" w:cs="宋体"/>
          <w:b/>
          <w:bCs/>
          <w:color w:val="FF0000"/>
          <w:kern w:val="0"/>
          <w:sz w:val="36"/>
          <w:szCs w:val="36"/>
        </w:rPr>
      </w:pPr>
      <w:r w:rsidRPr="001172E1">
        <w:rPr>
          <w:rFonts w:ascii="仿宋_gb2312" w:eastAsia="仿宋_gb2312" w:hAnsi="Calibri" w:cs="Calibri" w:hint="eastAsia"/>
          <w:b/>
          <w:bCs/>
          <w:kern w:val="0"/>
          <w:sz w:val="36"/>
          <w:szCs w:val="36"/>
        </w:rPr>
        <w:t>第五条</w:t>
      </w:r>
      <w:r w:rsidRPr="001172E1">
        <w:rPr>
          <w:rFonts w:ascii="宋体" w:eastAsia="宋体" w:hAnsi="宋体" w:cs="宋体"/>
          <w:kern w:val="0"/>
          <w:sz w:val="36"/>
          <w:szCs w:val="36"/>
        </w:rPr>
        <w:t xml:space="preserve">  </w:t>
      </w:r>
      <w:r w:rsidRPr="001172E1">
        <w:rPr>
          <w:rFonts w:ascii="仿宋_gb2312" w:eastAsia="仿宋_gb2312" w:hAnsi="宋体" w:cs="宋体" w:hint="eastAsia"/>
          <w:kern w:val="0"/>
          <w:sz w:val="36"/>
          <w:szCs w:val="36"/>
        </w:rPr>
        <w:t>易制毒化学品的使用单位应本着实事求是的原则，每次按一个学期的使用量制定采购计划，不得超购超贮。</w:t>
      </w:r>
      <w:r w:rsidRPr="001172E1">
        <w:rPr>
          <w:rFonts w:ascii="仿宋_gb2312" w:eastAsia="仿宋_gb2312" w:hAnsi="宋体" w:cs="宋体" w:hint="eastAsia"/>
          <w:b/>
          <w:bCs/>
          <w:color w:val="FF0000"/>
          <w:kern w:val="0"/>
          <w:sz w:val="36"/>
          <w:szCs w:val="36"/>
        </w:rPr>
        <w:t>每年的5</w:t>
      </w:r>
      <w:r w:rsidRPr="001172E1">
        <w:rPr>
          <w:rFonts w:ascii="宋体" w:eastAsia="宋体" w:hAnsi="宋体" w:cs="宋体"/>
          <w:b/>
          <w:bCs/>
          <w:color w:val="FF0000"/>
          <w:kern w:val="0"/>
          <w:sz w:val="36"/>
          <w:szCs w:val="36"/>
        </w:rPr>
        <w:t>月份和</w:t>
      </w:r>
      <w:r w:rsidRPr="001172E1">
        <w:rPr>
          <w:rFonts w:ascii="仿宋_gb2312" w:eastAsia="仿宋_gb2312" w:hAnsi="宋体" w:cs="宋体"/>
          <w:b/>
          <w:bCs/>
          <w:color w:val="FF0000"/>
          <w:kern w:val="0"/>
          <w:sz w:val="36"/>
          <w:szCs w:val="36"/>
        </w:rPr>
        <w:t>11月份申报下个学期的购买计划，计划要有使用单位易制毒化学品专管人员、使用单位主管领导、和单位第一责任人分别签字确认，加盖单位公章方有效。</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lastRenderedPageBreak/>
        <w:t>购买计划必须涵盖以下内容：</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hint="eastAsia"/>
          <w:kern w:val="0"/>
          <w:sz w:val="36"/>
          <w:szCs w:val="36"/>
        </w:rPr>
        <w:t>⑴</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计划周期内需求种类和数量；</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hint="eastAsia"/>
          <w:kern w:val="0"/>
          <w:sz w:val="36"/>
          <w:szCs w:val="36"/>
        </w:rPr>
        <w:t>⑵</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实际用途（特别说明将其用在哪个环节，起何作用）；</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hint="eastAsia"/>
          <w:kern w:val="0"/>
          <w:sz w:val="36"/>
          <w:szCs w:val="36"/>
        </w:rPr>
        <w:t>⑶</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购买、储存、使用、处置等全过程管理安全论证；</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hint="eastAsia"/>
          <w:kern w:val="0"/>
          <w:sz w:val="36"/>
          <w:szCs w:val="36"/>
        </w:rPr>
        <w:t>⑷</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供货方资质审核情况说明；</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kern w:val="0"/>
          <w:sz w:val="36"/>
          <w:szCs w:val="36"/>
        </w:rPr>
        <w:t>⑸</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单位易制毒化学品安全管理制度及措施、责任体系说明；</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kern w:val="0"/>
          <w:sz w:val="36"/>
          <w:szCs w:val="36"/>
        </w:rPr>
        <w:t>⑹</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单位设置专门存放易制毒化学品的库房或保险柜安防措施说明；</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hint="eastAsia"/>
          <w:kern w:val="0"/>
          <w:sz w:val="36"/>
          <w:szCs w:val="36"/>
        </w:rPr>
        <w:t>⑺</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本计划周期内项目管理说明；</w:t>
      </w:r>
      <w:r w:rsidRPr="001172E1">
        <w:rPr>
          <w:rFonts w:ascii="Calibri" w:eastAsia="仿宋_gb2312" w:hAnsi="Calibri" w:cs="Calibri"/>
          <w:kern w:val="0"/>
          <w:sz w:val="36"/>
          <w:szCs w:val="36"/>
        </w:rPr>
        <w:t xml:space="preserve"> </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微软雅黑" w:eastAsia="微软雅黑" w:hAnsi="微软雅黑" w:cs="微软雅黑"/>
          <w:kern w:val="0"/>
          <w:sz w:val="36"/>
          <w:szCs w:val="36"/>
        </w:rPr>
        <w:t>⑻</w:t>
      </w:r>
      <w:r w:rsidRPr="001172E1">
        <w:rPr>
          <w:rFonts w:ascii="Calibri" w:eastAsia="仿宋_gb2312" w:hAnsi="Calibri" w:cs="Calibri"/>
          <w:kern w:val="0"/>
          <w:sz w:val="36"/>
          <w:szCs w:val="36"/>
        </w:rPr>
        <w:t xml:space="preserve"> </w:t>
      </w:r>
      <w:r w:rsidRPr="001172E1">
        <w:rPr>
          <w:rFonts w:ascii="Calibri" w:eastAsia="仿宋_gb2312" w:hAnsi="Calibri" w:cs="Calibri"/>
          <w:kern w:val="0"/>
          <w:sz w:val="36"/>
          <w:szCs w:val="36"/>
        </w:rPr>
        <w:t>上个计划周期内单位易制毒化学品台账，包括购买、储存、领用、处置等各环节易制毒化学品明细、日期、责任人员等信息记录情况。</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 xml:space="preserve">第六条 </w:t>
      </w:r>
      <w:r w:rsidRPr="001172E1">
        <w:rPr>
          <w:rFonts w:ascii="仿宋_gb2312" w:eastAsia="仿宋_gb2312" w:hAnsi="宋体" w:cs="宋体" w:hint="eastAsia"/>
          <w:kern w:val="0"/>
          <w:sz w:val="36"/>
          <w:szCs w:val="36"/>
        </w:rPr>
        <w:t> </w:t>
      </w:r>
      <w:r w:rsidRPr="001172E1">
        <w:rPr>
          <w:rFonts w:ascii="仿宋_gb2312" w:eastAsia="仿宋_gb2312" w:hAnsi="宋体" w:cs="宋体" w:hint="eastAsia"/>
          <w:b/>
          <w:bCs/>
          <w:color w:val="FF0000"/>
          <w:kern w:val="0"/>
          <w:sz w:val="36"/>
          <w:szCs w:val="36"/>
        </w:rPr>
        <w:t>由使用单位根据易制毒化学品的具体用途将申请购买计划提交到学校对口负责的相关职能部门（教学用易制毒化学品报到教务处、研究生院；</w:t>
      </w:r>
      <w:bookmarkStart w:id="0" w:name="_GoBack"/>
      <w:bookmarkEnd w:id="0"/>
      <w:r w:rsidRPr="001172E1">
        <w:rPr>
          <w:rFonts w:ascii="仿宋_gb2312" w:eastAsia="仿宋_gb2312" w:hAnsi="宋体" w:cs="宋体" w:hint="eastAsia"/>
          <w:b/>
          <w:bCs/>
          <w:color w:val="FF0000"/>
          <w:kern w:val="0"/>
          <w:sz w:val="36"/>
          <w:szCs w:val="36"/>
        </w:rPr>
        <w:lastRenderedPageBreak/>
        <w:t>科研用易制毒化学品报到科技处；其他用报到后勤集团），经审核批准后，携带相关材料到保卫处办理网上申报，由当地公安机关审核并获得购买许可后方可</w:t>
      </w:r>
      <w:r w:rsidRPr="001172E1">
        <w:rPr>
          <w:rFonts w:ascii="仿宋_gb2312" w:eastAsia="仿宋_gb2312" w:hAnsi="宋体" w:cs="宋体" w:hint="eastAsia"/>
          <w:kern w:val="0"/>
          <w:sz w:val="36"/>
          <w:szCs w:val="36"/>
        </w:rPr>
        <w:t>购买。</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易制毒化学品的采购证明材料及审批材料的复印件，统一报保卫处登记备案，并应保存五年备查。</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第七条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学校建立由国家规定使用的</w:t>
      </w:r>
      <w:r w:rsidRPr="001172E1">
        <w:rPr>
          <w:rFonts w:ascii="仿宋" w:eastAsia="仿宋" w:hAnsi="仿宋" w:cs="宋体" w:hint="eastAsia"/>
          <w:kern w:val="0"/>
          <w:sz w:val="36"/>
          <w:szCs w:val="36"/>
        </w:rPr>
        <w:t>“</w:t>
      </w:r>
      <w:r w:rsidRPr="001172E1">
        <w:rPr>
          <w:rFonts w:ascii="Calibri" w:eastAsia="仿宋_gb2312" w:hAnsi="Calibri" w:cs="Calibri"/>
          <w:kern w:val="0"/>
          <w:sz w:val="36"/>
          <w:szCs w:val="36"/>
        </w:rPr>
        <w:t>易制毒化学品网络管理系统</w:t>
      </w:r>
      <w:r w:rsidRPr="001172E1">
        <w:rPr>
          <w:rFonts w:ascii="仿宋" w:eastAsia="仿宋" w:hAnsi="仿宋" w:cs="宋体" w:hint="eastAsia"/>
          <w:kern w:val="0"/>
          <w:sz w:val="36"/>
          <w:szCs w:val="36"/>
        </w:rPr>
        <w:t>”</w:t>
      </w:r>
      <w:r w:rsidRPr="001172E1">
        <w:rPr>
          <w:rFonts w:ascii="Calibri" w:eastAsia="仿宋_gb2312" w:hAnsi="Calibri" w:cs="Calibri"/>
          <w:kern w:val="0"/>
          <w:sz w:val="36"/>
          <w:szCs w:val="36"/>
        </w:rPr>
        <w:t>，由保卫处负责系统的管理及日常维护，根据审批结果，向获得购买许可的使用单位的易制毒化学品专管人员授予登录权限，具体实施网上购买过程。</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第八条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各使用单位的易制毒化学品专管人员应全面掌握易制毒化学品的有关知识，在允许的权限范围内严格按照购买计划的品种及数量进行购买。</w:t>
      </w:r>
    </w:p>
    <w:p w:rsidR="001172E1" w:rsidRPr="001172E1" w:rsidRDefault="001172E1" w:rsidP="001172E1">
      <w:pPr>
        <w:widowControl/>
        <w:shd w:val="clear" w:color="auto" w:fill="FFFFFF"/>
        <w:spacing w:before="100" w:beforeAutospacing="1" w:after="100" w:afterAutospacing="1"/>
        <w:jc w:val="center"/>
        <w:rPr>
          <w:rFonts w:ascii="宋体" w:eastAsia="宋体" w:hAnsi="宋体" w:cs="宋体"/>
          <w:kern w:val="0"/>
          <w:sz w:val="18"/>
          <w:szCs w:val="18"/>
        </w:rPr>
      </w:pPr>
      <w:r w:rsidRPr="001172E1">
        <w:rPr>
          <w:rFonts w:ascii="黑体" w:eastAsia="黑体" w:hAnsi="黑体" w:cs="宋体" w:hint="eastAsia"/>
          <w:kern w:val="0"/>
          <w:sz w:val="36"/>
          <w:szCs w:val="36"/>
        </w:rPr>
        <w:t>第四章 易制毒化学品的领用、贮存管理</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第九条</w:t>
      </w:r>
      <w:r w:rsidRPr="001172E1">
        <w:rPr>
          <w:rFonts w:ascii="仿宋_gb2312" w:eastAsia="仿宋_gb2312" w:hAnsi="宋体" w:cs="宋体" w:hint="eastAsia"/>
          <w:kern w:val="0"/>
          <w:sz w:val="36"/>
          <w:szCs w:val="36"/>
        </w:rPr>
        <w:t xml:space="preserve"> 易制毒化学品的使用单位在装运、存放、保管、使用和化学废弃物处置等各个环节，要严格执行双人装运、双人保管、双人领取、双人使用和双人双锁的“双五</w:t>
      </w:r>
      <w:r w:rsidRPr="001172E1">
        <w:rPr>
          <w:rFonts w:ascii="仿宋" w:eastAsia="仿宋" w:hAnsi="仿宋" w:cs="宋体" w:hint="eastAsia"/>
          <w:kern w:val="0"/>
          <w:sz w:val="36"/>
          <w:szCs w:val="36"/>
        </w:rPr>
        <w:t>”</w:t>
      </w:r>
      <w:r w:rsidRPr="001172E1">
        <w:rPr>
          <w:rFonts w:ascii="Calibri" w:eastAsia="仿宋_gb2312" w:hAnsi="Calibri" w:cs="Calibri"/>
          <w:kern w:val="0"/>
          <w:sz w:val="36"/>
          <w:szCs w:val="36"/>
        </w:rPr>
        <w:t>制度。</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lastRenderedPageBreak/>
        <w:t>第十条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易制毒化学品贮存必须有专人负责，并建立详细的易制毒化学品台账。做到日清月结，账物相符。</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易制毒化学品必须存放在条件完备的专用仓库、专用场地或专用储存室（柜）内，应当符合有关安全规定，并根据物品的种类、性质，设置相应的通风、防爆、泄压、防火、防雷、报警、灭火、防晒、调湿、消除静电、防护围堤等安全设施。存放区域应设置醒目的安全标志。</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不具备贮存条件的单位不得擅自贮存易制毒化学品。如需使用，须通过协商签订代保管合同，由具有贮存条件的部门代为贮存。</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Calibri" w:eastAsia="仿宋_gb2312" w:hAnsi="Calibri" w:cs="Calibri"/>
          <w:kern w:val="0"/>
          <w:sz w:val="36"/>
          <w:szCs w:val="36"/>
        </w:rPr>
        <w:t>任何单位和个人不得私自为其他单位和个人提供易制毒化学品的储存服务。</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第十一条</w:t>
      </w:r>
      <w:r w:rsidRPr="001172E1">
        <w:rPr>
          <w:rFonts w:ascii="宋体" w:eastAsia="宋体" w:hAnsi="宋体" w:cs="宋体"/>
          <w:kern w:val="0"/>
          <w:sz w:val="36"/>
          <w:szCs w:val="36"/>
        </w:rPr>
        <w:t xml:space="preserve">  </w:t>
      </w:r>
      <w:r w:rsidRPr="001172E1">
        <w:rPr>
          <w:rFonts w:ascii="仿宋_gb2312" w:eastAsia="仿宋_gb2312" w:hAnsi="宋体" w:cs="宋体" w:hint="eastAsia"/>
          <w:kern w:val="0"/>
          <w:sz w:val="36"/>
          <w:szCs w:val="36"/>
        </w:rPr>
        <w:t>对易制毒化学品的领取与使用必须通过使用单位主管领导审批签字，并对所用易制毒化学品的品名、剂量、用途、使用日期、排放方式和使用情况等进行详细登记，并定期报备保卫处。</w:t>
      </w:r>
    </w:p>
    <w:p w:rsidR="001172E1" w:rsidRPr="001172E1" w:rsidRDefault="001172E1" w:rsidP="001172E1">
      <w:pPr>
        <w:widowControl/>
        <w:shd w:val="clear" w:color="auto" w:fill="FFFFFF"/>
        <w:spacing w:before="100" w:beforeAutospacing="1" w:after="100" w:afterAutospacing="1"/>
        <w:jc w:val="center"/>
        <w:rPr>
          <w:rFonts w:ascii="宋体" w:eastAsia="宋体" w:hAnsi="宋体" w:cs="宋体"/>
          <w:kern w:val="0"/>
          <w:sz w:val="18"/>
          <w:szCs w:val="18"/>
        </w:rPr>
      </w:pPr>
      <w:r w:rsidRPr="001172E1">
        <w:rPr>
          <w:rFonts w:ascii="黑体" w:eastAsia="黑体" w:hAnsi="黑体" w:cs="宋体" w:hint="eastAsia"/>
          <w:kern w:val="0"/>
          <w:sz w:val="36"/>
          <w:szCs w:val="36"/>
        </w:rPr>
        <w:t>第五章 易制毒化学品废弃物的处置管理</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lastRenderedPageBreak/>
        <w:t>第十二条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处理每次使用后废弃的少量剩余的易制毒化学品，必须由学院统一登记后储存，报学校后勤管理处（环境保护管理办公室）备案，定期按国家有关规定进行妥善处理。</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第十三条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对需要集中销毁大剂量的或存放过期、失效变质的易制毒化学品，必须经使用单位向学校后勤管理处（环境保护管理办公室）提出书面申请，报政府环保权威机构批复后，按国家有关规定进行处置。</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第十四条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任何单位和个人不得以任何理由擅自丢弃或掩埋任何易制毒化学品。</w:t>
      </w:r>
    </w:p>
    <w:p w:rsidR="001172E1" w:rsidRPr="001172E1" w:rsidRDefault="001172E1" w:rsidP="001172E1">
      <w:pPr>
        <w:widowControl/>
        <w:shd w:val="clear" w:color="auto" w:fill="FFFFFF"/>
        <w:spacing w:before="100" w:beforeAutospacing="1" w:after="100" w:afterAutospacing="1"/>
        <w:jc w:val="center"/>
        <w:rPr>
          <w:rFonts w:ascii="宋体" w:eastAsia="宋体" w:hAnsi="宋体" w:cs="宋体"/>
          <w:kern w:val="0"/>
          <w:sz w:val="18"/>
          <w:szCs w:val="18"/>
        </w:rPr>
      </w:pPr>
      <w:r w:rsidRPr="001172E1">
        <w:rPr>
          <w:rFonts w:ascii="黑体" w:eastAsia="黑体" w:hAnsi="黑体" w:cs="宋体" w:hint="eastAsia"/>
          <w:kern w:val="0"/>
          <w:sz w:val="36"/>
          <w:szCs w:val="36"/>
        </w:rPr>
        <w:t>第六章 附则</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第十五条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对在易制毒化学品的采购、储存、使用和处置过程中违反有关规定，出现事故，由该易制毒化学品使用单位自行承担；任何单位或个人不按规定私自购买、留存、使用和处置易制毒化学品的，由学校参照《国务院易制毒化学品管理条例》相关规定，视情节轻重对责任人给予处罚，构成犯罪的由司法机关追究其刑事责任。</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t>第十六条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本规定由学校保卫处（安全生产办公室）负责解释，自发布之日起施行。</w:t>
      </w:r>
    </w:p>
    <w:p w:rsidR="001172E1" w:rsidRPr="001172E1" w:rsidRDefault="001172E1" w:rsidP="001172E1">
      <w:pPr>
        <w:widowControl/>
        <w:shd w:val="clear" w:color="auto" w:fill="FFFFFF"/>
        <w:spacing w:before="100" w:beforeAutospacing="1" w:after="100" w:afterAutospacing="1"/>
        <w:jc w:val="left"/>
        <w:rPr>
          <w:rFonts w:ascii="宋体" w:eastAsia="宋体" w:hAnsi="宋体" w:cs="宋体"/>
          <w:kern w:val="0"/>
          <w:sz w:val="18"/>
          <w:szCs w:val="18"/>
        </w:rPr>
      </w:pPr>
      <w:r w:rsidRPr="001172E1">
        <w:rPr>
          <w:rFonts w:ascii="仿宋_gb2312" w:eastAsia="仿宋_gb2312" w:hAnsi="Calibri" w:cs="Calibri" w:hint="eastAsia"/>
          <w:b/>
          <w:bCs/>
          <w:kern w:val="0"/>
          <w:sz w:val="36"/>
          <w:szCs w:val="36"/>
        </w:rPr>
        <w:lastRenderedPageBreak/>
        <w:t>第十七条</w:t>
      </w:r>
      <w:r w:rsidRPr="001172E1">
        <w:rPr>
          <w:rFonts w:ascii="仿宋_gb2312" w:eastAsia="仿宋_gb2312" w:hAnsi="Calibri" w:cs="Calibri" w:hint="eastAsia"/>
          <w:b/>
          <w:bCs/>
          <w:kern w:val="0"/>
          <w:sz w:val="36"/>
          <w:szCs w:val="36"/>
        </w:rPr>
        <w:t> </w:t>
      </w:r>
      <w:r w:rsidRPr="001172E1">
        <w:rPr>
          <w:rFonts w:ascii="仿宋_gb2312" w:eastAsia="仿宋_gb2312" w:hAnsi="Calibri" w:cs="Calibri" w:hint="eastAsia"/>
          <w:b/>
          <w:bCs/>
          <w:kern w:val="0"/>
          <w:sz w:val="36"/>
          <w:szCs w:val="36"/>
        </w:rPr>
        <w:t xml:space="preserve"> </w:t>
      </w:r>
      <w:r w:rsidRPr="001172E1">
        <w:rPr>
          <w:rFonts w:ascii="仿宋_gb2312" w:eastAsia="仿宋_gb2312" w:hAnsi="宋体" w:cs="宋体" w:hint="eastAsia"/>
          <w:kern w:val="0"/>
          <w:sz w:val="36"/>
          <w:szCs w:val="36"/>
        </w:rPr>
        <w:t>如与国家法律法规不一致的以国家法律法规为准。本规定中未提及或未说明的其它易制毒化学品管理内容依照国家、北京市及学校的有关规定执行。</w:t>
      </w:r>
    </w:p>
    <w:p w:rsidR="00EB281C" w:rsidRPr="001172E1" w:rsidRDefault="00EB281C"/>
    <w:sectPr w:rsidR="00EB281C" w:rsidRPr="001172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E1"/>
    <w:rsid w:val="001172E1"/>
    <w:rsid w:val="00673DEB"/>
    <w:rsid w:val="00EB28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0034-E119-4CC0-BAFF-5CBCE11F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172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72E1"/>
    <w:rPr>
      <w:rFonts w:ascii="宋体" w:eastAsia="宋体" w:hAnsi="宋体" w:cs="宋体"/>
      <w:b/>
      <w:bCs/>
      <w:kern w:val="36"/>
      <w:sz w:val="48"/>
      <w:szCs w:val="48"/>
    </w:rPr>
  </w:style>
  <w:style w:type="paragraph" w:styleId="a3">
    <w:name w:val="Normal (Web)"/>
    <w:basedOn w:val="a"/>
    <w:uiPriority w:val="99"/>
    <w:semiHidden/>
    <w:unhideWhenUsed/>
    <w:rsid w:val="001172E1"/>
    <w:pPr>
      <w:widowControl/>
      <w:spacing w:before="100" w:beforeAutospacing="1" w:after="100" w:afterAutospacing="1"/>
      <w:jc w:val="left"/>
    </w:pPr>
    <w:rPr>
      <w:rFonts w:ascii="宋体" w:eastAsia="宋体" w:hAnsi="宋体" w:cs="宋体"/>
      <w:kern w:val="0"/>
      <w:sz w:val="24"/>
      <w:szCs w:val="24"/>
    </w:rPr>
  </w:style>
  <w:style w:type="character" w:customStyle="1" w:styleId="cinfolbl">
    <w:name w:val="c_info_lbl"/>
    <w:basedOn w:val="a0"/>
    <w:rsid w:val="001172E1"/>
  </w:style>
  <w:style w:type="character" w:customStyle="1" w:styleId="cinfoname">
    <w:name w:val="c_info_name"/>
    <w:basedOn w:val="a0"/>
    <w:rsid w:val="001172E1"/>
  </w:style>
  <w:style w:type="character" w:styleId="a4">
    <w:name w:val="Strong"/>
    <w:basedOn w:val="a0"/>
    <w:uiPriority w:val="22"/>
    <w:qFormat/>
    <w:rsid w:val="00117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82169">
      <w:bodyDiv w:val="1"/>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none" w:sz="0" w:space="0" w:color="auto"/>
            <w:left w:val="none" w:sz="0" w:space="0" w:color="auto"/>
            <w:bottom w:val="none" w:sz="0" w:space="0" w:color="auto"/>
            <w:right w:val="none" w:sz="0" w:space="0" w:color="auto"/>
          </w:divBdr>
          <w:divsChild>
            <w:div w:id="1979262049">
              <w:marLeft w:val="0"/>
              <w:marRight w:val="0"/>
              <w:marTop w:val="0"/>
              <w:marBottom w:val="150"/>
              <w:divBdr>
                <w:top w:val="none" w:sz="0" w:space="0" w:color="auto"/>
                <w:left w:val="none" w:sz="0" w:space="0" w:color="auto"/>
                <w:bottom w:val="none" w:sz="0" w:space="0" w:color="auto"/>
                <w:right w:val="none" w:sz="0" w:space="0" w:color="auto"/>
              </w:divBdr>
              <w:divsChild>
                <w:div w:id="1183394832">
                  <w:marLeft w:val="0"/>
                  <w:marRight w:val="0"/>
                  <w:marTop w:val="0"/>
                  <w:marBottom w:val="0"/>
                  <w:divBdr>
                    <w:top w:val="single" w:sz="6" w:space="0" w:color="A3D0F7"/>
                    <w:left w:val="single" w:sz="6" w:space="0" w:color="A3D0F7"/>
                    <w:bottom w:val="single" w:sz="6" w:space="0" w:color="A3D0F7"/>
                    <w:right w:val="single" w:sz="6" w:space="0" w:color="A3D0F7"/>
                  </w:divBdr>
                  <w:divsChild>
                    <w:div w:id="1958216919">
                      <w:marLeft w:val="0"/>
                      <w:marRight w:val="0"/>
                      <w:marTop w:val="0"/>
                      <w:marBottom w:val="0"/>
                      <w:divBdr>
                        <w:top w:val="single" w:sz="6" w:space="0" w:color="FFFFFF"/>
                        <w:left w:val="single" w:sz="6" w:space="0" w:color="FFFFFF"/>
                        <w:bottom w:val="single" w:sz="6" w:space="0" w:color="FFFFFF"/>
                        <w:right w:val="single" w:sz="6" w:space="0" w:color="FFFFFF"/>
                      </w:divBdr>
                      <w:divsChild>
                        <w:div w:id="1378580344">
                          <w:marLeft w:val="0"/>
                          <w:marRight w:val="0"/>
                          <w:marTop w:val="0"/>
                          <w:marBottom w:val="0"/>
                          <w:divBdr>
                            <w:top w:val="none" w:sz="0" w:space="0" w:color="auto"/>
                            <w:left w:val="none" w:sz="0" w:space="0" w:color="auto"/>
                            <w:bottom w:val="none" w:sz="0" w:space="0" w:color="auto"/>
                            <w:right w:val="none" w:sz="0" w:space="0" w:color="auto"/>
                          </w:divBdr>
                          <w:divsChild>
                            <w:div w:id="812597101">
                              <w:marLeft w:val="0"/>
                              <w:marRight w:val="0"/>
                              <w:marTop w:val="0"/>
                              <w:marBottom w:val="0"/>
                              <w:divBdr>
                                <w:top w:val="none" w:sz="0" w:space="0" w:color="auto"/>
                                <w:left w:val="none" w:sz="0" w:space="0" w:color="auto"/>
                                <w:bottom w:val="none" w:sz="0" w:space="0" w:color="auto"/>
                                <w:right w:val="none" w:sz="0" w:space="0" w:color="auto"/>
                              </w:divBdr>
                              <w:divsChild>
                                <w:div w:id="1324745950">
                                  <w:marLeft w:val="0"/>
                                  <w:marRight w:val="0"/>
                                  <w:marTop w:val="0"/>
                                  <w:marBottom w:val="0"/>
                                  <w:divBdr>
                                    <w:top w:val="none" w:sz="0" w:space="0" w:color="auto"/>
                                    <w:left w:val="none" w:sz="0" w:space="0" w:color="auto"/>
                                    <w:bottom w:val="none" w:sz="0" w:space="0" w:color="auto"/>
                                    <w:right w:val="none" w:sz="0" w:space="0" w:color="auto"/>
                                  </w:divBdr>
                                  <w:divsChild>
                                    <w:div w:id="1444806791">
                                      <w:marLeft w:val="0"/>
                                      <w:marRight w:val="0"/>
                                      <w:marTop w:val="0"/>
                                      <w:marBottom w:val="0"/>
                                      <w:divBdr>
                                        <w:top w:val="none" w:sz="0" w:space="0" w:color="auto"/>
                                        <w:left w:val="none" w:sz="0" w:space="0" w:color="auto"/>
                                        <w:bottom w:val="none" w:sz="0" w:space="0" w:color="auto"/>
                                        <w:right w:val="none" w:sz="0" w:space="0" w:color="auto"/>
                                      </w:divBdr>
                                      <w:divsChild>
                                        <w:div w:id="596595788">
                                          <w:marLeft w:val="0"/>
                                          <w:marRight w:val="0"/>
                                          <w:marTop w:val="0"/>
                                          <w:marBottom w:val="0"/>
                                          <w:divBdr>
                                            <w:top w:val="none" w:sz="0" w:space="0" w:color="auto"/>
                                            <w:left w:val="none" w:sz="0" w:space="0" w:color="auto"/>
                                            <w:bottom w:val="none" w:sz="0" w:space="0" w:color="auto"/>
                                            <w:right w:val="none" w:sz="0" w:space="0" w:color="auto"/>
                                          </w:divBdr>
                                        </w:div>
                                        <w:div w:id="2010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2018-04-14T06:21:00Z</dcterms:created>
  <dcterms:modified xsi:type="dcterms:W3CDTF">2018-04-14T06:23:00Z</dcterms:modified>
</cp:coreProperties>
</file>